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DF5" w:rsidRPr="00933DF5" w:rsidRDefault="00AE289C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33DF5">
        <w:rPr>
          <w:rFonts w:ascii="Times New Roman" w:hAnsi="Times New Roman" w:cs="Times New Roman"/>
          <w:b/>
          <w:i/>
          <w:sz w:val="24"/>
          <w:szCs w:val="24"/>
        </w:rPr>
        <w:t xml:space="preserve">ПОЯСНИТЕЛЬНАЯ ЗАПИСКА </w:t>
      </w:r>
    </w:p>
    <w:p w:rsidR="00D46FD7" w:rsidRPr="005214FC" w:rsidRDefault="00933DF5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4FC">
        <w:rPr>
          <w:rFonts w:ascii="Times New Roman" w:hAnsi="Times New Roman" w:cs="Times New Roman"/>
          <w:b/>
          <w:i/>
          <w:sz w:val="24"/>
          <w:szCs w:val="24"/>
        </w:rPr>
        <w:t>к отчету об исполнении бюджета сельского поселения «</w:t>
      </w:r>
      <w:r w:rsidR="00A44220">
        <w:rPr>
          <w:rFonts w:ascii="Times New Roman" w:hAnsi="Times New Roman" w:cs="Times New Roman"/>
          <w:b/>
          <w:i/>
          <w:sz w:val="24"/>
          <w:szCs w:val="24"/>
        </w:rPr>
        <w:t>Заозерье</w:t>
      </w:r>
      <w:r w:rsidRPr="005214FC">
        <w:rPr>
          <w:rFonts w:ascii="Times New Roman" w:hAnsi="Times New Roman" w:cs="Times New Roman"/>
          <w:b/>
          <w:i/>
          <w:sz w:val="24"/>
          <w:szCs w:val="24"/>
        </w:rPr>
        <w:t>»</w:t>
      </w:r>
    </w:p>
    <w:p w:rsidR="00933DF5" w:rsidRPr="005214FC" w:rsidRDefault="00933DF5" w:rsidP="00933DF5">
      <w:pPr>
        <w:spacing w:after="0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5214FC">
        <w:rPr>
          <w:rFonts w:ascii="Times New Roman" w:hAnsi="Times New Roman" w:cs="Times New Roman"/>
          <w:b/>
          <w:i/>
          <w:sz w:val="24"/>
          <w:szCs w:val="24"/>
        </w:rPr>
        <w:t xml:space="preserve">за </w:t>
      </w:r>
      <w:r w:rsidR="000B311F">
        <w:rPr>
          <w:rFonts w:ascii="Times New Roman" w:hAnsi="Times New Roman" w:cs="Times New Roman"/>
          <w:b/>
          <w:i/>
          <w:sz w:val="24"/>
          <w:szCs w:val="24"/>
        </w:rPr>
        <w:t>1 квартал</w:t>
      </w:r>
      <w:r w:rsidRPr="005214FC">
        <w:rPr>
          <w:rFonts w:ascii="Times New Roman" w:hAnsi="Times New Roman" w:cs="Times New Roman"/>
          <w:b/>
          <w:i/>
          <w:sz w:val="24"/>
          <w:szCs w:val="24"/>
        </w:rPr>
        <w:t xml:space="preserve"> 202</w:t>
      </w:r>
      <w:r w:rsidR="00920DF5">
        <w:rPr>
          <w:rFonts w:ascii="Times New Roman" w:hAnsi="Times New Roman" w:cs="Times New Roman"/>
          <w:b/>
          <w:i/>
          <w:sz w:val="24"/>
          <w:szCs w:val="24"/>
        </w:rPr>
        <w:t>5</w:t>
      </w:r>
      <w:r w:rsidRPr="005214FC">
        <w:rPr>
          <w:rFonts w:ascii="Times New Roman" w:hAnsi="Times New Roman" w:cs="Times New Roman"/>
          <w:b/>
          <w:i/>
          <w:sz w:val="24"/>
          <w:szCs w:val="24"/>
        </w:rPr>
        <w:t xml:space="preserve"> г.</w:t>
      </w:r>
    </w:p>
    <w:p w:rsidR="00933DF5" w:rsidRPr="00AE289C" w:rsidRDefault="00933DF5" w:rsidP="00933DF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045B" w:rsidRDefault="0043045B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1C15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Главными администраторами бюджетных средств сельского поселения являются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33DF5" w:rsidRDefault="00933DF5" w:rsidP="0043045B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2"/>
        <w:gridCol w:w="4142"/>
        <w:gridCol w:w="984"/>
        <w:gridCol w:w="4117"/>
      </w:tblGrid>
      <w:tr w:rsidR="001D6D40" w:rsidRPr="005214FC" w:rsidTr="001D6D40">
        <w:tc>
          <w:tcPr>
            <w:tcW w:w="959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Код главы</w:t>
            </w:r>
          </w:p>
        </w:tc>
        <w:tc>
          <w:tcPr>
            <w:tcW w:w="4251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Наименование главного распорядителя, распорядителя и получателя</w:t>
            </w:r>
          </w:p>
        </w:tc>
        <w:tc>
          <w:tcPr>
            <w:tcW w:w="994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Код</w:t>
            </w:r>
          </w:p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главы</w:t>
            </w:r>
          </w:p>
        </w:tc>
        <w:tc>
          <w:tcPr>
            <w:tcW w:w="4217" w:type="dxa"/>
          </w:tcPr>
          <w:p w:rsidR="001D6D40" w:rsidRPr="005214FC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Наименование администратора поступлений в бюджет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921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A44220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Совет сельского поселения «</w:t>
            </w:r>
            <w:r w:rsidR="00A44220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 w:val="restart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17" w:type="dxa"/>
            <w:vMerge w:val="restart"/>
            <w:vAlign w:val="center"/>
          </w:tcPr>
          <w:p w:rsidR="001D6D40" w:rsidRPr="00CD1C15" w:rsidRDefault="001D6D40" w:rsidP="00A44220">
            <w:pPr>
              <w:tabs>
                <w:tab w:val="left" w:pos="3225"/>
              </w:tabs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A44220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</w:tr>
      <w:tr w:rsidR="001D6D40" w:rsidTr="001E0255">
        <w:tc>
          <w:tcPr>
            <w:tcW w:w="959" w:type="dxa"/>
            <w:vAlign w:val="center"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925</w:t>
            </w:r>
          </w:p>
        </w:tc>
        <w:tc>
          <w:tcPr>
            <w:tcW w:w="4251" w:type="dxa"/>
            <w:vAlign w:val="center"/>
          </w:tcPr>
          <w:p w:rsidR="001D6D40" w:rsidRPr="00CD1C15" w:rsidRDefault="001D6D40" w:rsidP="00A44220">
            <w:pPr>
              <w:suppressAutoHyphens/>
              <w:rPr>
                <w:rFonts w:ascii="Times New Roman" w:eastAsia="Times New Roman" w:hAnsi="Times New Roman" w:cs="Times New Roman"/>
                <w:lang w:eastAsia="ru-RU"/>
              </w:rPr>
            </w:pP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Администрация сельского поселения «</w:t>
            </w:r>
            <w:r w:rsidR="00A44220">
              <w:rPr>
                <w:rFonts w:ascii="Times New Roman" w:eastAsia="Times New Roman" w:hAnsi="Times New Roman" w:cs="Times New Roman"/>
                <w:lang w:eastAsia="ru-RU"/>
              </w:rPr>
              <w:t>Заозерье</w:t>
            </w:r>
            <w:r w:rsidRPr="00CD1C15">
              <w:rPr>
                <w:rFonts w:ascii="Times New Roman" w:eastAsia="Times New Roman" w:hAnsi="Times New Roman" w:cs="Times New Roman"/>
                <w:lang w:eastAsia="ru-RU"/>
              </w:rPr>
              <w:t>»</w:t>
            </w:r>
          </w:p>
        </w:tc>
        <w:tc>
          <w:tcPr>
            <w:tcW w:w="994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4217" w:type="dxa"/>
            <w:vMerge/>
          </w:tcPr>
          <w:p w:rsidR="001D6D40" w:rsidRPr="00CD1C15" w:rsidRDefault="001D6D40" w:rsidP="001E0255">
            <w:pPr>
              <w:suppressAutoHyphens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1D6D40" w:rsidRPr="00CD1C15" w:rsidRDefault="001D6D40" w:rsidP="001D6D40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6273C" w:rsidRDefault="00933DF5" w:rsidP="00F400F8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>Бюджет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>сельского поселения «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="0086273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утвержден Решением Совета сельского поселения «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№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920DF5">
        <w:rPr>
          <w:rFonts w:ascii="Times New Roman" w:eastAsia="Calibri" w:hAnsi="Times New Roman" w:cs="Times New Roman"/>
          <w:color w:val="000000"/>
          <w:sz w:val="24"/>
          <w:szCs w:val="24"/>
        </w:rPr>
        <w:t>25</w:t>
      </w:r>
      <w:r w:rsidR="00463307">
        <w:rPr>
          <w:rFonts w:ascii="Times New Roman" w:eastAsia="Calibri" w:hAnsi="Times New Roman" w:cs="Times New Roman"/>
          <w:color w:val="000000"/>
          <w:sz w:val="24"/>
          <w:szCs w:val="24"/>
        </w:rPr>
        <w:t>/</w:t>
      </w:r>
      <w:r w:rsidR="00122379"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от </w:t>
      </w:r>
      <w:r w:rsidR="00920DF5">
        <w:rPr>
          <w:rFonts w:ascii="Times New Roman" w:eastAsia="Calibri" w:hAnsi="Times New Roman" w:cs="Times New Roman"/>
          <w:color w:val="000000"/>
          <w:sz w:val="24"/>
          <w:szCs w:val="24"/>
        </w:rPr>
        <w:t>23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12.202</w:t>
      </w:r>
      <w:r w:rsidR="00920DF5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года «О бюджете сельского поселения «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Заозерье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» на 202</w:t>
      </w:r>
      <w:r w:rsidR="00920DF5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и плановый период 202</w:t>
      </w:r>
      <w:r w:rsidR="00920DF5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202</w:t>
      </w:r>
      <w:r w:rsidR="00920DF5">
        <w:rPr>
          <w:rFonts w:ascii="Times New Roman" w:eastAsia="Calibri" w:hAnsi="Times New Roman" w:cs="Times New Roman"/>
          <w:color w:val="000000"/>
          <w:sz w:val="24"/>
          <w:szCs w:val="24"/>
        </w:rPr>
        <w:t>7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годов» в сумме </w:t>
      </w:r>
      <w:r w:rsidR="00A44220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 w:rsidR="00920DF5">
        <w:rPr>
          <w:rFonts w:ascii="Times New Roman" w:eastAsia="Calibri" w:hAnsi="Times New Roman" w:cs="Times New Roman"/>
          <w:color w:val="000000"/>
          <w:sz w:val="24"/>
          <w:szCs w:val="24"/>
        </w:rPr>
        <w:t>003970,76</w:t>
      </w:r>
      <w:r w:rsidR="0086273C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рублей на 202</w:t>
      </w:r>
      <w:r w:rsidR="00920DF5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="00F400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год с изменениями от 10.03.2025 г. Решение Совета сельского поселения «Заозерье» №</w:t>
      </w:r>
      <w:r w:rsidR="00F400F8" w:rsidRPr="00F400F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F400F8" w:rsidRPr="00177A0D"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  <w:t>V</w:t>
      </w:r>
      <w:r w:rsidR="00F400F8" w:rsidRPr="00177A0D">
        <w:rPr>
          <w:rFonts w:ascii="Times New Roman" w:eastAsia="Calibri" w:hAnsi="Times New Roman" w:cs="Times New Roman"/>
          <w:color w:val="000000"/>
          <w:sz w:val="24"/>
          <w:szCs w:val="24"/>
        </w:rPr>
        <w:t>-</w:t>
      </w:r>
      <w:r w:rsidR="00F400F8">
        <w:rPr>
          <w:rFonts w:ascii="Times New Roman" w:eastAsia="Calibri" w:hAnsi="Times New Roman" w:cs="Times New Roman"/>
          <w:color w:val="000000"/>
          <w:sz w:val="24"/>
          <w:szCs w:val="24"/>
        </w:rPr>
        <w:t>32/1.</w:t>
      </w:r>
    </w:p>
    <w:p w:rsidR="0086273C" w:rsidRDefault="00933DF5" w:rsidP="00A03CA4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</w:p>
    <w:p w:rsid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Исполнение бюджета сельского поселения «</w:t>
      </w:r>
      <w:r w:rsidR="00A4422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» по доходам</w:t>
      </w:r>
    </w:p>
    <w:p w:rsidR="008F1D50" w:rsidRP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223C84" w:rsidRPr="00064760" w:rsidRDefault="00933DF5" w:rsidP="00A03CA4">
      <w:pPr>
        <w:tabs>
          <w:tab w:val="left" w:pos="426"/>
        </w:tabs>
        <w:spacing w:after="120" w:line="240" w:lineRule="auto"/>
        <w:ind w:firstLine="426"/>
        <w:jc w:val="both"/>
        <w:outlineLvl w:val="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Основные </w:t>
      </w:r>
      <w:r w:rsidR="0043045B">
        <w:rPr>
          <w:rFonts w:ascii="Times New Roman" w:eastAsia="Times New Roman" w:hAnsi="Times New Roman" w:cs="Times New Roman"/>
          <w:sz w:val="24"/>
          <w:szCs w:val="24"/>
        </w:rPr>
        <w:t>параметры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исполнения бюджета 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>сельского поселения «</w:t>
      </w:r>
      <w:r w:rsidR="00A44220">
        <w:rPr>
          <w:rFonts w:ascii="Times New Roman" w:eastAsia="Times New Roman" w:hAnsi="Times New Roman" w:cs="Times New Roman"/>
          <w:sz w:val="24"/>
          <w:szCs w:val="24"/>
        </w:rPr>
        <w:t>Заозерье</w:t>
      </w:r>
      <w:r w:rsidR="004817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0B311F">
        <w:rPr>
          <w:rFonts w:ascii="Times New Roman" w:eastAsia="Times New Roman" w:hAnsi="Times New Roman" w:cs="Times New Roman"/>
          <w:sz w:val="24"/>
          <w:szCs w:val="24"/>
        </w:rPr>
        <w:t>1</w:t>
      </w:r>
      <w:r w:rsidR="007C483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B311F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920DF5">
        <w:rPr>
          <w:rFonts w:ascii="Times New Roman" w:eastAsia="Times New Roman" w:hAnsi="Times New Roman" w:cs="Times New Roman"/>
          <w:sz w:val="24"/>
          <w:szCs w:val="24"/>
        </w:rPr>
        <w:t>5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86273C">
        <w:rPr>
          <w:rFonts w:ascii="Times New Roman" w:eastAsia="Times New Roman" w:hAnsi="Times New Roman" w:cs="Times New Roman"/>
          <w:sz w:val="24"/>
          <w:szCs w:val="24"/>
        </w:rPr>
        <w:t>а</w:t>
      </w:r>
      <w:r w:rsidR="00BA60A4" w:rsidRPr="00BA60A4">
        <w:rPr>
          <w:rFonts w:ascii="Times New Roman" w:eastAsia="Times New Roman" w:hAnsi="Times New Roman" w:cs="Times New Roman"/>
          <w:sz w:val="24"/>
          <w:szCs w:val="24"/>
        </w:rPr>
        <w:t xml:space="preserve"> характеризуются показателями</w:t>
      </w:r>
      <w:r w:rsidR="00A03CA4">
        <w:rPr>
          <w:rFonts w:ascii="Times New Roman" w:eastAsia="Times New Roman" w:hAnsi="Times New Roman" w:cs="Times New Roman"/>
          <w:sz w:val="24"/>
          <w:szCs w:val="24"/>
        </w:rPr>
        <w:t>, приведенными в таблице.</w:t>
      </w:r>
    </w:p>
    <w:p w:rsidR="00BA60A4" w:rsidRDefault="00BA60A4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  <w:r w:rsidRPr="0048179B">
        <w:rPr>
          <w:rFonts w:ascii="Times New Roman" w:eastAsia="Times New Roman" w:hAnsi="Times New Roman" w:cs="Times New Roman"/>
          <w:sz w:val="18"/>
          <w:szCs w:val="18"/>
        </w:rPr>
        <w:t>(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 xml:space="preserve">в 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рубл</w:t>
      </w:r>
      <w:r w:rsidR="00223C84" w:rsidRPr="0048179B">
        <w:rPr>
          <w:rFonts w:ascii="Times New Roman" w:eastAsia="Times New Roman" w:hAnsi="Times New Roman" w:cs="Times New Roman"/>
          <w:sz w:val="18"/>
          <w:szCs w:val="18"/>
        </w:rPr>
        <w:t>ях</w:t>
      </w:r>
      <w:r w:rsidRPr="0048179B">
        <w:rPr>
          <w:rFonts w:ascii="Times New Roman" w:eastAsia="Times New Roman" w:hAnsi="Times New Roman" w:cs="Times New Roman"/>
          <w:sz w:val="18"/>
          <w:szCs w:val="18"/>
        </w:rPr>
        <w:t>)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216"/>
        <w:gridCol w:w="1217"/>
        <w:gridCol w:w="1198"/>
        <w:gridCol w:w="1134"/>
        <w:gridCol w:w="1217"/>
        <w:gridCol w:w="1071"/>
        <w:gridCol w:w="1142"/>
      </w:tblGrid>
      <w:tr w:rsidR="00A17A15" w:rsidRPr="005214FC" w:rsidTr="00920DF5">
        <w:trPr>
          <w:jc w:val="center"/>
        </w:trPr>
        <w:tc>
          <w:tcPr>
            <w:tcW w:w="3216" w:type="dxa"/>
            <w:vMerge w:val="restart"/>
          </w:tcPr>
          <w:p w:rsidR="00A03CA4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Наименование показателя</w:t>
            </w:r>
          </w:p>
        </w:tc>
        <w:tc>
          <w:tcPr>
            <w:tcW w:w="3549" w:type="dxa"/>
            <w:gridSpan w:val="3"/>
          </w:tcPr>
          <w:p w:rsidR="00A03CA4" w:rsidRPr="005214FC" w:rsidRDefault="0030253A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 кв.</w:t>
            </w:r>
            <w:r w:rsidR="00A17A15"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202</w:t>
            </w:r>
            <w:r w:rsidR="00920DF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4</w:t>
            </w:r>
            <w:r w:rsidR="00A17A15"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г.</w:t>
            </w:r>
          </w:p>
        </w:tc>
        <w:tc>
          <w:tcPr>
            <w:tcW w:w="3430" w:type="dxa"/>
            <w:gridSpan w:val="3"/>
          </w:tcPr>
          <w:p w:rsidR="00A03CA4" w:rsidRPr="005214FC" w:rsidRDefault="0030253A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1кв.</w:t>
            </w:r>
            <w:r w:rsidR="00A17A15"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202</w:t>
            </w:r>
            <w:r w:rsidR="00920DF5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5</w:t>
            </w:r>
            <w:r w:rsidR="00A17A15"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 xml:space="preserve"> г.</w:t>
            </w:r>
          </w:p>
        </w:tc>
      </w:tr>
      <w:tr w:rsidR="00A17A15" w:rsidTr="00920DF5">
        <w:trPr>
          <w:jc w:val="center"/>
        </w:trPr>
        <w:tc>
          <w:tcPr>
            <w:tcW w:w="3216" w:type="dxa"/>
            <w:vMerge/>
          </w:tcPr>
          <w:p w:rsidR="00A17A15" w:rsidRDefault="00A17A15" w:rsidP="00077489">
            <w:pPr>
              <w:jc w:val="right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7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198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1134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  <w:tc>
          <w:tcPr>
            <w:tcW w:w="1217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071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1142" w:type="dxa"/>
          </w:tcPr>
          <w:p w:rsidR="00A17A15" w:rsidRPr="005214FC" w:rsidRDefault="00A17A15" w:rsidP="00A17A15">
            <w:pPr>
              <w:jc w:val="center"/>
              <w:outlineLvl w:val="7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 w:rsidRPr="005214FC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</w:tr>
      <w:tr w:rsidR="00920DF5" w:rsidTr="00920DF5">
        <w:trPr>
          <w:jc w:val="center"/>
        </w:trPr>
        <w:tc>
          <w:tcPr>
            <w:tcW w:w="3216" w:type="dxa"/>
          </w:tcPr>
          <w:p w:rsidR="00920DF5" w:rsidRDefault="00920DF5" w:rsidP="00920DF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доходов, в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т.ч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.:</w:t>
            </w:r>
          </w:p>
        </w:tc>
        <w:tc>
          <w:tcPr>
            <w:tcW w:w="1217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6964204,76</w:t>
            </w:r>
          </w:p>
        </w:tc>
        <w:tc>
          <w:tcPr>
            <w:tcW w:w="1198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1660976,64</w:t>
            </w:r>
          </w:p>
        </w:tc>
        <w:tc>
          <w:tcPr>
            <w:tcW w:w="1134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23,85</w:t>
            </w:r>
          </w:p>
        </w:tc>
        <w:tc>
          <w:tcPr>
            <w:tcW w:w="1217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7139970,76</w:t>
            </w:r>
          </w:p>
        </w:tc>
        <w:tc>
          <w:tcPr>
            <w:tcW w:w="1071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1751282,71</w:t>
            </w:r>
          </w:p>
        </w:tc>
        <w:tc>
          <w:tcPr>
            <w:tcW w:w="1142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24,53</w:t>
            </w:r>
          </w:p>
        </w:tc>
      </w:tr>
      <w:tr w:rsidR="00920DF5" w:rsidTr="00920DF5">
        <w:trPr>
          <w:jc w:val="center"/>
        </w:trPr>
        <w:tc>
          <w:tcPr>
            <w:tcW w:w="3216" w:type="dxa"/>
          </w:tcPr>
          <w:p w:rsidR="00920DF5" w:rsidRDefault="00920DF5" w:rsidP="00920DF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Налоговые и неналоговые доходы</w:t>
            </w:r>
          </w:p>
        </w:tc>
        <w:tc>
          <w:tcPr>
            <w:tcW w:w="1217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142000,00</w:t>
            </w:r>
          </w:p>
        </w:tc>
        <w:tc>
          <w:tcPr>
            <w:tcW w:w="1198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27386,67</w:t>
            </w:r>
          </w:p>
        </w:tc>
        <w:tc>
          <w:tcPr>
            <w:tcW w:w="1134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19,29</w:t>
            </w:r>
          </w:p>
        </w:tc>
        <w:tc>
          <w:tcPr>
            <w:tcW w:w="1217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130000,00</w:t>
            </w:r>
          </w:p>
        </w:tc>
        <w:tc>
          <w:tcPr>
            <w:tcW w:w="1071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29101,41</w:t>
            </w:r>
          </w:p>
        </w:tc>
        <w:tc>
          <w:tcPr>
            <w:tcW w:w="1142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22,39</w:t>
            </w:r>
          </w:p>
        </w:tc>
      </w:tr>
      <w:tr w:rsidR="00920DF5" w:rsidTr="00920DF5">
        <w:trPr>
          <w:jc w:val="center"/>
        </w:trPr>
        <w:tc>
          <w:tcPr>
            <w:tcW w:w="3216" w:type="dxa"/>
          </w:tcPr>
          <w:p w:rsidR="00920DF5" w:rsidRDefault="00920DF5" w:rsidP="00920DF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217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6822204,76</w:t>
            </w:r>
          </w:p>
        </w:tc>
        <w:tc>
          <w:tcPr>
            <w:tcW w:w="1198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1633589,97</w:t>
            </w:r>
          </w:p>
        </w:tc>
        <w:tc>
          <w:tcPr>
            <w:tcW w:w="1134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23,95</w:t>
            </w:r>
          </w:p>
        </w:tc>
        <w:tc>
          <w:tcPr>
            <w:tcW w:w="1217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7009970,76</w:t>
            </w:r>
          </w:p>
        </w:tc>
        <w:tc>
          <w:tcPr>
            <w:tcW w:w="1071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1722181,30</w:t>
            </w:r>
          </w:p>
        </w:tc>
        <w:tc>
          <w:tcPr>
            <w:tcW w:w="1142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24,57</w:t>
            </w:r>
          </w:p>
        </w:tc>
      </w:tr>
      <w:tr w:rsidR="00920DF5" w:rsidTr="00920DF5">
        <w:trPr>
          <w:jc w:val="center"/>
        </w:trPr>
        <w:tc>
          <w:tcPr>
            <w:tcW w:w="3216" w:type="dxa"/>
          </w:tcPr>
          <w:p w:rsidR="00920DF5" w:rsidRDefault="00920DF5" w:rsidP="00920DF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Общий объем расходов</w:t>
            </w:r>
          </w:p>
        </w:tc>
        <w:tc>
          <w:tcPr>
            <w:tcW w:w="1217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6964204,76</w:t>
            </w:r>
          </w:p>
        </w:tc>
        <w:tc>
          <w:tcPr>
            <w:tcW w:w="1198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1616401,11</w:t>
            </w:r>
          </w:p>
        </w:tc>
        <w:tc>
          <w:tcPr>
            <w:tcW w:w="1134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23,21</w:t>
            </w:r>
          </w:p>
        </w:tc>
        <w:tc>
          <w:tcPr>
            <w:tcW w:w="1217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7187828,03</w:t>
            </w:r>
          </w:p>
        </w:tc>
        <w:tc>
          <w:tcPr>
            <w:tcW w:w="1071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1629789,24</w:t>
            </w:r>
          </w:p>
        </w:tc>
        <w:tc>
          <w:tcPr>
            <w:tcW w:w="1142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22,67</w:t>
            </w:r>
          </w:p>
        </w:tc>
      </w:tr>
      <w:tr w:rsidR="00920DF5" w:rsidTr="00920DF5">
        <w:trPr>
          <w:jc w:val="center"/>
        </w:trPr>
        <w:tc>
          <w:tcPr>
            <w:tcW w:w="3216" w:type="dxa"/>
          </w:tcPr>
          <w:p w:rsidR="00920DF5" w:rsidRDefault="00920DF5" w:rsidP="00920DF5">
            <w:pPr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Профицит (+)/ Дефицит (-)</w:t>
            </w:r>
          </w:p>
        </w:tc>
        <w:tc>
          <w:tcPr>
            <w:tcW w:w="1217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98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44575,53</w:t>
            </w:r>
          </w:p>
        </w:tc>
        <w:tc>
          <w:tcPr>
            <w:tcW w:w="1134" w:type="dxa"/>
          </w:tcPr>
          <w:p w:rsidR="00920DF5" w:rsidRDefault="00920DF5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1217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-47857,27</w:t>
            </w:r>
          </w:p>
        </w:tc>
        <w:tc>
          <w:tcPr>
            <w:tcW w:w="1071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121493,47</w:t>
            </w:r>
          </w:p>
        </w:tc>
        <w:tc>
          <w:tcPr>
            <w:tcW w:w="1142" w:type="dxa"/>
          </w:tcPr>
          <w:p w:rsidR="00920DF5" w:rsidRDefault="009B1B50" w:rsidP="00920DF5">
            <w:pPr>
              <w:jc w:val="center"/>
              <w:outlineLvl w:val="7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х</w:t>
            </w:r>
          </w:p>
        </w:tc>
      </w:tr>
    </w:tbl>
    <w:p w:rsidR="001D6D40" w:rsidRDefault="001D6D40" w:rsidP="00077489">
      <w:pPr>
        <w:spacing w:after="0" w:line="240" w:lineRule="auto"/>
        <w:ind w:firstLine="284"/>
        <w:jc w:val="right"/>
        <w:outlineLvl w:val="7"/>
        <w:rPr>
          <w:rFonts w:ascii="Times New Roman" w:eastAsia="Times New Roman" w:hAnsi="Times New Roman" w:cs="Times New Roman"/>
          <w:sz w:val="18"/>
          <w:szCs w:val="18"/>
        </w:rPr>
      </w:pPr>
    </w:p>
    <w:p w:rsidR="00064760" w:rsidRDefault="00933DF5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75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Доходная часть бюджета сельского поселения исполнена в 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сумме </w:t>
      </w:r>
      <w:r w:rsidR="002F20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532C23">
        <w:rPr>
          <w:rFonts w:ascii="Times New Roman" w:eastAsia="Times New Roman" w:hAnsi="Times New Roman" w:cs="Times New Roman"/>
          <w:sz w:val="24"/>
          <w:szCs w:val="24"/>
          <w:lang w:eastAsia="ru-RU"/>
        </w:rPr>
        <w:t>751282,71</w:t>
      </w:r>
      <w:r w:rsidR="00DC69E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руб. или </w:t>
      </w:r>
      <w:r w:rsidR="00AB0A2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532C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F2086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532C23">
        <w:rPr>
          <w:rFonts w:ascii="Times New Roman" w:eastAsia="Times New Roman" w:hAnsi="Times New Roman" w:cs="Times New Roman"/>
          <w:sz w:val="24"/>
          <w:szCs w:val="24"/>
          <w:lang w:eastAsia="ru-RU"/>
        </w:rPr>
        <w:t>53</w:t>
      </w:r>
      <w:r w:rsidR="005214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D2759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утвержденных бюджетных назначений.</w:t>
      </w:r>
    </w:p>
    <w:p w:rsidR="00D2759A" w:rsidRDefault="00D2759A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сравнении с аналогичным периодом 202</w:t>
      </w:r>
      <w:r w:rsidR="00532C2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фактический уровень доходов с учетом безвозмездных поступлений по сельскому поселению в отчетном периоде </w:t>
      </w:r>
      <w:r w:rsidR="002B127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532C23">
        <w:rPr>
          <w:rFonts w:ascii="Times New Roman" w:eastAsia="Times New Roman" w:hAnsi="Times New Roman" w:cs="Times New Roman"/>
          <w:sz w:val="24"/>
          <w:szCs w:val="24"/>
          <w:lang w:eastAsia="ru-RU"/>
        </w:rPr>
        <w:t>90306,07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в основном за счет </w:t>
      </w:r>
      <w:r w:rsidR="003F1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объема безвозмездных поступлений.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Поступление н</w:t>
      </w:r>
      <w:r w:rsidR="007B04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алоговых и неналоговых доходов </w:t>
      </w:r>
      <w:r w:rsidR="003F1D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увеличилось 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532C23">
        <w:rPr>
          <w:rFonts w:ascii="Times New Roman" w:eastAsia="Times New Roman" w:hAnsi="Times New Roman" w:cs="Times New Roman"/>
          <w:sz w:val="24"/>
          <w:szCs w:val="24"/>
          <w:lang w:eastAsia="ru-RU"/>
        </w:rPr>
        <w:t>1714,74</w:t>
      </w:r>
      <w:r w:rsidR="00235D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</w:t>
      </w:r>
      <w:r w:rsidR="002B12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35D74" w:rsidRDefault="00235D74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Данные об исполнении налоговых и неналоговых доходов, безвозмездных поступлений в разрезе их видов отражены в таблице.</w:t>
      </w:r>
    </w:p>
    <w:p w:rsidR="00920DF5" w:rsidRDefault="00920DF5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35D74" w:rsidRDefault="00235D74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00" w:type="dxa"/>
        <w:tblInd w:w="182" w:type="dxa"/>
        <w:tblLayout w:type="fixed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3354"/>
        <w:gridCol w:w="1276"/>
        <w:gridCol w:w="1276"/>
        <w:gridCol w:w="992"/>
        <w:gridCol w:w="1276"/>
        <w:gridCol w:w="1134"/>
        <w:gridCol w:w="992"/>
      </w:tblGrid>
      <w:tr w:rsidR="00117507" w:rsidRPr="002F2086" w:rsidTr="00117507">
        <w:trPr>
          <w:trHeight w:hRule="exact" w:val="633"/>
        </w:trPr>
        <w:tc>
          <w:tcPr>
            <w:tcW w:w="3354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8B47C8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47C8">
              <w:rPr>
                <w:rFonts w:ascii="Times New Roman" w:hAnsi="Times New Roman" w:cs="Times New Roman"/>
                <w:b/>
                <w:i/>
                <w:iCs/>
                <w:color w:val="000000"/>
                <w:spacing w:val="-1"/>
                <w:sz w:val="20"/>
                <w:szCs w:val="20"/>
              </w:rPr>
              <w:t>Наименование дохода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973A4C" w:rsidP="00920DF5">
            <w:pPr>
              <w:shd w:val="clear" w:color="auto" w:fill="FFFFFF"/>
              <w:spacing w:line="269" w:lineRule="exact"/>
              <w:ind w:left="10" w:right="19"/>
              <w:jc w:val="center"/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8B47C8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1 кв.</w:t>
            </w:r>
            <w:r w:rsidR="00117507" w:rsidRPr="008B47C8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202</w:t>
            </w:r>
            <w:r w:rsidR="00920DF5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  <w:r w:rsidR="00117507" w:rsidRPr="008B47C8">
              <w:rPr>
                <w:rFonts w:ascii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 xml:space="preserve"> г.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973A4C" w:rsidP="00920DF5">
            <w:pPr>
              <w:shd w:val="clear" w:color="auto" w:fill="FFFFFF"/>
              <w:spacing w:line="269" w:lineRule="exact"/>
              <w:ind w:left="10" w:right="19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 кв.</w:t>
            </w:r>
            <w:r w:rsidR="00117507" w:rsidRPr="008B47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202</w:t>
            </w:r>
            <w:r w:rsidR="00920DF5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  <w:r w:rsidR="00117507" w:rsidRPr="008B47C8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г.</w:t>
            </w:r>
          </w:p>
        </w:tc>
      </w:tr>
      <w:tr w:rsidR="00117507" w:rsidRPr="002F2086" w:rsidTr="00117507">
        <w:trPr>
          <w:trHeight w:hRule="exact" w:val="288"/>
        </w:trPr>
        <w:tc>
          <w:tcPr>
            <w:tcW w:w="3354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17507" w:rsidRPr="008B47C8" w:rsidRDefault="00117507" w:rsidP="000B3590">
            <w:pPr>
              <w:shd w:val="clear" w:color="auto" w:fill="FFFFFF"/>
              <w:ind w:left="10"/>
              <w:rPr>
                <w:rFonts w:ascii="Times New Roman" w:hAnsi="Times New Roman" w:cs="Times New Roman"/>
                <w:iCs/>
                <w:color w:val="000000"/>
                <w:spacing w:val="2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0B3590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утверждено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исполнено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17507" w:rsidRPr="008B47C8" w:rsidRDefault="00117507" w:rsidP="00117507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b/>
                <w:i/>
                <w:sz w:val="18"/>
                <w:szCs w:val="18"/>
              </w:rPr>
              <w:t>% исп.</w:t>
            </w:r>
          </w:p>
        </w:tc>
      </w:tr>
      <w:tr w:rsidR="00920DF5" w:rsidRPr="00B27859" w:rsidTr="00117507">
        <w:trPr>
          <w:trHeight w:hRule="exact" w:val="28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DF5" w:rsidRPr="008B47C8" w:rsidRDefault="00920DF5" w:rsidP="00920DF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8B47C8">
              <w:rPr>
                <w:rFonts w:ascii="Times New Roman" w:hAnsi="Times New Roman" w:cs="Times New Roman"/>
                <w:iCs/>
                <w:color w:val="000000"/>
                <w:spacing w:val="2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8B47C8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8B47C8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11037,09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8B47C8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25,67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8B47C8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8B47C8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9338,86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8B47C8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19,87</w:t>
            </w:r>
          </w:p>
        </w:tc>
      </w:tr>
      <w:tr w:rsidR="00920DF5" w:rsidRPr="00B27859" w:rsidTr="00117507">
        <w:trPr>
          <w:trHeight w:hRule="exact" w:val="29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81,87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0,30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211,00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0,81</w:t>
            </w:r>
          </w:p>
        </w:tc>
      </w:tr>
      <w:tr w:rsidR="00920DF5" w:rsidRPr="00B27859" w:rsidTr="00117507">
        <w:trPr>
          <w:trHeight w:hRule="exact" w:val="1013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6654,00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66,54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25,45</w:t>
            </w:r>
          </w:p>
        </w:tc>
      </w:tr>
      <w:tr w:rsidR="00920DF5" w:rsidRPr="00B27859" w:rsidTr="005214FC">
        <w:trPr>
          <w:trHeight w:hRule="exact" w:val="989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Земельный налог с физических лиц, обладающих земельным 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128,00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137,62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1,38</w:t>
            </w:r>
          </w:p>
        </w:tc>
      </w:tr>
      <w:tr w:rsidR="00920DF5" w:rsidRPr="00B27859" w:rsidTr="00117507">
        <w:trPr>
          <w:trHeight w:hRule="exact" w:val="28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iCs/>
                <w:color w:val="000000"/>
                <w:spacing w:val="-1"/>
                <w:sz w:val="18"/>
                <w:szCs w:val="18"/>
              </w:rPr>
              <w:t>Госпошлина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133,33</w:t>
            </w:r>
          </w:p>
        </w:tc>
      </w:tr>
      <w:tr w:rsidR="00920DF5" w:rsidRPr="00B27859" w:rsidTr="00117507">
        <w:trPr>
          <w:trHeight w:hRule="exact" w:val="820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Прочие поступления от использования имущества, находящегося в собственности сельских поселений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8885,71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22,21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E77949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12613,93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38,22</w:t>
            </w:r>
          </w:p>
        </w:tc>
      </w:tr>
      <w:tr w:rsidR="00920DF5" w:rsidRPr="00B27859" w:rsidTr="005214FC">
        <w:trPr>
          <w:trHeight w:hRule="exact" w:val="979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sz w:val="18"/>
                <w:szCs w:val="1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4858000,00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1292450,00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26,60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5610000,00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1410150,00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25,14</w:t>
            </w:r>
          </w:p>
        </w:tc>
      </w:tr>
      <w:tr w:rsidR="00920DF5" w:rsidRPr="00B27859" w:rsidTr="00D3371B">
        <w:trPr>
          <w:trHeight w:hRule="exact" w:val="508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Прочие субсидии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443160,00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20DF5" w:rsidRPr="00B27859" w:rsidTr="00117507">
        <w:trPr>
          <w:trHeight w:hRule="exact" w:val="854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ind w:left="10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sz w:val="18"/>
                <w:szCs w:val="18"/>
              </w:rPr>
              <w:t>Субвенции бюджетам сельских поселений на выполнение передаваемых полномочий субъектов РФ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27325,76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27325,76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27325,76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27325,76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920DF5" w:rsidRPr="00B27859" w:rsidTr="00117507">
        <w:trPr>
          <w:trHeight w:hRule="exact" w:val="1133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spacing w:line="278" w:lineRule="exact"/>
              <w:ind w:left="10" w:right="38"/>
              <w:rPr>
                <w:rFonts w:ascii="Times New Roman" w:hAnsi="Times New Roman" w:cs="Times New Roman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sz w:val="18"/>
                <w:szCs w:val="18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141479,00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24980,11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167645,00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29575,54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17,64</w:t>
            </w:r>
          </w:p>
        </w:tc>
      </w:tr>
      <w:tr w:rsidR="00920DF5" w:rsidRPr="00B27859" w:rsidTr="00117507">
        <w:trPr>
          <w:trHeight w:hRule="exact" w:val="1760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1080000,00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235834,10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21,84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1043000,00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B529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198130,00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BD7548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19,00</w:t>
            </w:r>
          </w:p>
        </w:tc>
      </w:tr>
      <w:tr w:rsidR="00920DF5" w:rsidRPr="00B27859" w:rsidTr="00117507">
        <w:trPr>
          <w:trHeight w:hRule="exact" w:val="733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269240,00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18,57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F553E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160000,00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F553E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F553E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34,38</w:t>
            </w:r>
          </w:p>
        </w:tc>
      </w:tr>
      <w:tr w:rsidR="00920DF5" w:rsidRPr="00B27859" w:rsidTr="00117507">
        <w:trPr>
          <w:trHeight w:hRule="exact" w:val="599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117507" w:rsidRDefault="00920DF5" w:rsidP="00920DF5">
            <w:pPr>
              <w:shd w:val="clear" w:color="auto" w:fill="FFFFFF"/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</w:pPr>
            <w:r w:rsidRPr="00117507">
              <w:rPr>
                <w:rFonts w:ascii="Times New Roman" w:hAnsi="Times New Roman" w:cs="Times New Roman"/>
                <w:bCs/>
                <w:iCs/>
                <w:color w:val="000000"/>
                <w:sz w:val="18"/>
                <w:szCs w:val="1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F553E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F553E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2000,00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B27859" w:rsidRDefault="00F553E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100,00</w:t>
            </w:r>
          </w:p>
        </w:tc>
      </w:tr>
      <w:tr w:rsidR="00920DF5" w:rsidRPr="005214FC" w:rsidTr="00117507">
        <w:trPr>
          <w:trHeight w:hRule="exact" w:val="396"/>
        </w:trPr>
        <w:tc>
          <w:tcPr>
            <w:tcW w:w="3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5214FC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5214F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5214FC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6964204,76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5214FC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1660976,64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5214FC" w:rsidRDefault="00920DF5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23,85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5214FC" w:rsidRDefault="00F553E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7139970,76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5214FC" w:rsidRDefault="00F553E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1751282,71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20DF5" w:rsidRPr="005214FC" w:rsidRDefault="00F553E2" w:rsidP="00920DF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24,53</w:t>
            </w:r>
          </w:p>
        </w:tc>
      </w:tr>
    </w:tbl>
    <w:p w:rsidR="00235D74" w:rsidRDefault="00235D74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772D" w:rsidRPr="00B27859" w:rsidRDefault="0014772D" w:rsidP="00D2759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1421D9" w:rsidRPr="001D6D40" w:rsidRDefault="001421D9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 составляющим налоговых доходов бюджета сельского поселения «</w:t>
      </w:r>
      <w:r w:rsidR="00A442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Заозерье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является налог на доходы физических лиц, который 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исполнен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</w:t>
      </w:r>
      <w:r w:rsidR="00A006EF">
        <w:rPr>
          <w:rFonts w:ascii="Times New Roman" w:eastAsia="Times New Roman" w:hAnsi="Times New Roman" w:cs="Times New Roman"/>
          <w:sz w:val="24"/>
          <w:szCs w:val="24"/>
          <w:lang w:eastAsia="ru-RU"/>
        </w:rPr>
        <w:t>9338,86</w:t>
      </w:r>
      <w:r w:rsidR="004B29E4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11DB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плане 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006EF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000,00 рублей или </w:t>
      </w:r>
      <w:r w:rsidR="00A006EF">
        <w:rPr>
          <w:rFonts w:ascii="Times New Roman" w:eastAsia="Times New Roman" w:hAnsi="Times New Roman" w:cs="Times New Roman"/>
          <w:sz w:val="24"/>
          <w:szCs w:val="24"/>
          <w:lang w:eastAsia="ru-RU"/>
        </w:rPr>
        <w:t>19,87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плана.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A006E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960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A006EF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налога на </w:t>
      </w:r>
      <w:r w:rsidR="00A006EF">
        <w:rPr>
          <w:rFonts w:ascii="Times New Roman" w:eastAsia="Times New Roman" w:hAnsi="Times New Roman" w:cs="Times New Roman"/>
          <w:sz w:val="24"/>
          <w:szCs w:val="24"/>
          <w:lang w:eastAsia="ru-RU"/>
        </w:rPr>
        <w:t>1698,23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B73F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т.к. на территории сельского поселения имеются вакантные должности.</w:t>
      </w:r>
    </w:p>
    <w:p w:rsidR="0065296D" w:rsidRPr="001D6D40" w:rsidRDefault="0065296D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 на имущество физических лиц </w:t>
      </w:r>
      <w:r w:rsidR="00311D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поступил в сумме 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211,00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958DD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</w:t>
      </w:r>
      <w:r w:rsidR="00F92564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введением нового порядка распределения налогов в 2023 г.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B3C13" w:rsidRPr="001D6D40" w:rsidRDefault="0065296D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с организаций поступ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2800</w:t>
      </w:r>
      <w:r w:rsidR="00DC69E4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25,45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</w:t>
      </w:r>
      <w:r w:rsid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снижение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54</w:t>
      </w:r>
      <w:r w:rsidR="00D43E1F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1A6A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DC69E4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3C13" w:rsidRPr="001D6D40" w:rsidRDefault="0065296D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Земельный налог с физических лиц 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8635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="00485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37,62</w:t>
      </w:r>
      <w:r w:rsidR="009B13D9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CA448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1,3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</w:t>
      </w:r>
      <w:r w:rsidR="00DB7DCF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годового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плана. Срок уплаты налога до 01.12.202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 </w:t>
      </w:r>
      <w:r w:rsid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202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3C13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наблюдается </w:t>
      </w:r>
      <w:r w:rsidR="00FF547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связи с </w:t>
      </w:r>
      <w:r w:rsidR="00363E5B">
        <w:rPr>
          <w:rFonts w:ascii="Times New Roman" w:eastAsia="Times New Roman" w:hAnsi="Times New Roman" w:cs="Times New Roman"/>
          <w:sz w:val="24"/>
          <w:szCs w:val="24"/>
          <w:lang w:eastAsia="ru-RU"/>
        </w:rPr>
        <w:t>введением нового порядка распределения налогов в 2023 г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7792" w:rsidRPr="001D6D40" w:rsidRDefault="005547EA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Государственная пошлина за совершение нотариальных действий должностными лицами органами местного самоуправления, уполномоченными в соответствии с законодательными актами РФ на совершение нотариальных действий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поступ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>и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л</w:t>
      </w:r>
      <w:r w:rsidR="00DD47BE">
        <w:rPr>
          <w:rFonts w:ascii="Times New Roman" w:eastAsia="Calibri" w:hAnsi="Times New Roman" w:cs="Times New Roman"/>
          <w:color w:val="000000"/>
          <w:sz w:val="24"/>
          <w:szCs w:val="24"/>
        </w:rPr>
        <w:t>а в сумме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271AE">
        <w:rPr>
          <w:rFonts w:ascii="Times New Roman" w:eastAsia="Calibri" w:hAnsi="Times New Roman" w:cs="Times New Roman"/>
          <w:color w:val="000000"/>
          <w:sz w:val="24"/>
          <w:szCs w:val="24"/>
        </w:rPr>
        <w:t>40</w:t>
      </w:r>
      <w:r w:rsidR="00FF5475">
        <w:rPr>
          <w:rFonts w:ascii="Times New Roman" w:eastAsia="Calibri" w:hAnsi="Times New Roman" w:cs="Times New Roman"/>
          <w:color w:val="000000"/>
          <w:sz w:val="24"/>
          <w:szCs w:val="24"/>
        </w:rPr>
        <w:t>00</w:t>
      </w:r>
      <w:r w:rsidR="009B13D9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,00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рублей или </w:t>
      </w:r>
      <w:r w:rsidR="008271AE">
        <w:rPr>
          <w:rFonts w:ascii="Times New Roman" w:eastAsia="Calibri" w:hAnsi="Times New Roman" w:cs="Times New Roman"/>
          <w:color w:val="000000"/>
          <w:sz w:val="24"/>
          <w:szCs w:val="24"/>
        </w:rPr>
        <w:t>133,33</w:t>
      </w:r>
      <w:r w:rsidR="00FF5475">
        <w:rPr>
          <w:rFonts w:ascii="Times New Roman" w:eastAsia="Calibri" w:hAnsi="Times New Roman" w:cs="Times New Roman"/>
          <w:color w:val="000000"/>
          <w:sz w:val="24"/>
          <w:szCs w:val="24"/>
        </w:rPr>
        <w:t>,0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% от </w:t>
      </w:r>
      <w:r w:rsidR="00DB7DCF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годового </w:t>
      </w:r>
      <w:r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>плана.</w:t>
      </w:r>
      <w:r w:rsidR="00727792" w:rsidRPr="001D6D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>По сравнению с аналогичным периодом 202</w:t>
      </w:r>
      <w:r w:rsidR="008271AE">
        <w:rPr>
          <w:rFonts w:ascii="Times New Roman" w:eastAsia="Calibri" w:hAnsi="Times New Roman" w:cs="Times New Roman"/>
          <w:sz w:val="24"/>
          <w:szCs w:val="24"/>
        </w:rPr>
        <w:t>4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 xml:space="preserve"> года наблюдается </w:t>
      </w:r>
      <w:r w:rsidR="008271AE">
        <w:rPr>
          <w:rFonts w:ascii="Times New Roman" w:eastAsia="Calibri" w:hAnsi="Times New Roman" w:cs="Times New Roman"/>
          <w:sz w:val="24"/>
          <w:szCs w:val="24"/>
        </w:rPr>
        <w:t>рост</w:t>
      </w:r>
      <w:r w:rsidR="00CA44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r w:rsidR="008271AE">
        <w:rPr>
          <w:rFonts w:ascii="Times New Roman" w:eastAsia="Calibri" w:hAnsi="Times New Roman" w:cs="Times New Roman"/>
          <w:sz w:val="24"/>
          <w:szCs w:val="24"/>
        </w:rPr>
        <w:t>34</w:t>
      </w:r>
      <w:r w:rsidR="00FF5475">
        <w:rPr>
          <w:rFonts w:ascii="Times New Roman" w:eastAsia="Calibri" w:hAnsi="Times New Roman" w:cs="Times New Roman"/>
          <w:sz w:val="24"/>
          <w:szCs w:val="24"/>
        </w:rPr>
        <w:t>00</w:t>
      </w:r>
      <w:r w:rsidR="009B13D9" w:rsidRPr="001D6D40">
        <w:rPr>
          <w:rFonts w:ascii="Times New Roman" w:eastAsia="Calibri" w:hAnsi="Times New Roman" w:cs="Times New Roman"/>
          <w:sz w:val="24"/>
          <w:szCs w:val="24"/>
        </w:rPr>
        <w:t xml:space="preserve">,00 </w:t>
      </w:r>
      <w:r w:rsidR="00476CBC" w:rsidRPr="001D6D40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8271A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76CBC" w:rsidRDefault="005547EA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/>
          <w:color w:val="000000"/>
          <w:sz w:val="24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поступ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DD47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 </w:t>
      </w:r>
      <w:r w:rsidR="00DD47BE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сумме 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12613,93</w:t>
      </w:r>
      <w:r w:rsidR="00CA4489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B13D9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</w:t>
      </w:r>
      <w:r w:rsidR="00DD47BE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38</w:t>
      </w:r>
      <w:r w:rsidR="007C07AF">
        <w:rPr>
          <w:rFonts w:ascii="Times New Roman" w:eastAsia="Times New Roman" w:hAnsi="Times New Roman" w:cs="Times New Roman"/>
          <w:sz w:val="24"/>
          <w:szCs w:val="24"/>
          <w:lang w:eastAsia="ru-RU"/>
        </w:rPr>
        <w:t>,2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DB7DCF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годового плана</w:t>
      </w:r>
      <w:r w:rsidR="00DD47BE" w:rsidRP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D6D40" w:rsidRPr="00F57F29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F57F29">
        <w:rPr>
          <w:rFonts w:ascii="Times New Roman" w:eastAsia="Times New Roman" w:hAnsi="Times New Roman"/>
          <w:color w:val="000000"/>
          <w:sz w:val="24"/>
        </w:rPr>
        <w:t xml:space="preserve">По сравнению с аналогичным периодом </w:t>
      </w:r>
      <w:r w:rsidR="00476CBC" w:rsidRPr="00F57F29">
        <w:rPr>
          <w:rFonts w:ascii="Times New Roman" w:eastAsia="Times New Roman" w:hAnsi="Times New Roman"/>
          <w:color w:val="000000"/>
          <w:sz w:val="24"/>
        </w:rPr>
        <w:lastRenderedPageBreak/>
        <w:t>202</w:t>
      </w:r>
      <w:r w:rsidR="008271AE">
        <w:rPr>
          <w:rFonts w:ascii="Times New Roman" w:eastAsia="Times New Roman" w:hAnsi="Times New Roman"/>
          <w:color w:val="000000"/>
          <w:sz w:val="24"/>
        </w:rPr>
        <w:t>4</w:t>
      </w:r>
      <w:r w:rsidR="00476CBC" w:rsidRPr="00F57F29">
        <w:rPr>
          <w:rFonts w:ascii="Times New Roman" w:eastAsia="Times New Roman" w:hAnsi="Times New Roman"/>
          <w:color w:val="000000"/>
          <w:sz w:val="24"/>
        </w:rPr>
        <w:t xml:space="preserve"> года наблюдается </w:t>
      </w:r>
      <w:r w:rsidR="008271AE">
        <w:rPr>
          <w:rFonts w:ascii="Times New Roman" w:eastAsia="Times New Roman" w:hAnsi="Times New Roman"/>
          <w:color w:val="000000"/>
          <w:sz w:val="24"/>
        </w:rPr>
        <w:t>рост</w:t>
      </w:r>
      <w:r w:rsidR="00476CBC" w:rsidRPr="00F57F29">
        <w:rPr>
          <w:rFonts w:ascii="Times New Roman" w:eastAsia="Times New Roman" w:hAnsi="Times New Roman"/>
          <w:color w:val="000000"/>
          <w:sz w:val="24"/>
        </w:rPr>
        <w:t xml:space="preserve"> на </w:t>
      </w:r>
      <w:r w:rsidR="008271AE">
        <w:rPr>
          <w:rFonts w:ascii="Times New Roman" w:eastAsia="Times New Roman" w:hAnsi="Times New Roman"/>
          <w:color w:val="000000"/>
          <w:sz w:val="24"/>
        </w:rPr>
        <w:t>3728,22</w:t>
      </w:r>
      <w:r w:rsidR="00CA4489" w:rsidRPr="00F57F29">
        <w:rPr>
          <w:rFonts w:ascii="Times New Roman" w:eastAsia="Times New Roman" w:hAnsi="Times New Roman"/>
          <w:color w:val="000000"/>
          <w:sz w:val="24"/>
        </w:rPr>
        <w:t xml:space="preserve"> </w:t>
      </w:r>
      <w:r w:rsidR="00476CBC" w:rsidRPr="00F57F29">
        <w:rPr>
          <w:rFonts w:ascii="Times New Roman" w:eastAsia="Times New Roman" w:hAnsi="Times New Roman"/>
          <w:color w:val="000000"/>
          <w:sz w:val="24"/>
        </w:rPr>
        <w:t>рубл</w:t>
      </w:r>
      <w:r w:rsidR="00CA4489" w:rsidRPr="00F57F29">
        <w:rPr>
          <w:rFonts w:ascii="Times New Roman" w:eastAsia="Times New Roman" w:hAnsi="Times New Roman"/>
          <w:color w:val="000000"/>
          <w:sz w:val="24"/>
        </w:rPr>
        <w:t>ей</w:t>
      </w:r>
      <w:r w:rsidR="001D6D40" w:rsidRPr="00F57F29">
        <w:rPr>
          <w:rFonts w:ascii="Times New Roman" w:eastAsia="Times New Roman" w:hAnsi="Times New Roman"/>
          <w:color w:val="000000"/>
          <w:sz w:val="24"/>
        </w:rPr>
        <w:t>,</w:t>
      </w:r>
      <w:r w:rsidR="00114128" w:rsidRPr="00F57F29">
        <w:rPr>
          <w:rFonts w:ascii="Times New Roman" w:eastAsia="Times New Roman" w:hAnsi="Times New Roman"/>
          <w:color w:val="000000"/>
          <w:sz w:val="24"/>
        </w:rPr>
        <w:t xml:space="preserve"> в связи с</w:t>
      </w:r>
      <w:r w:rsidR="008271AE">
        <w:rPr>
          <w:rFonts w:ascii="Times New Roman" w:eastAsia="Times New Roman" w:hAnsi="Times New Roman"/>
          <w:color w:val="000000"/>
          <w:sz w:val="24"/>
        </w:rPr>
        <w:t xml:space="preserve"> оплатой</w:t>
      </w:r>
      <w:r w:rsidR="007C07AF">
        <w:rPr>
          <w:rFonts w:ascii="Times New Roman" w:eastAsia="Times New Roman" w:hAnsi="Times New Roman"/>
          <w:color w:val="000000"/>
          <w:sz w:val="24"/>
        </w:rPr>
        <w:t xml:space="preserve"> задолженности</w:t>
      </w:r>
      <w:r w:rsidR="00F57F29">
        <w:rPr>
          <w:rFonts w:ascii="Times New Roman" w:eastAsia="Times New Roman" w:hAnsi="Times New Roman"/>
          <w:color w:val="000000"/>
          <w:sz w:val="24"/>
        </w:rPr>
        <w:t xml:space="preserve"> за жилищно-коммунальные услуги (</w:t>
      </w:r>
      <w:proofErr w:type="spellStart"/>
      <w:r w:rsidR="00F57F29">
        <w:rPr>
          <w:rFonts w:ascii="Times New Roman" w:eastAsia="Times New Roman" w:hAnsi="Times New Roman"/>
          <w:color w:val="000000"/>
          <w:sz w:val="24"/>
        </w:rPr>
        <w:t>найм</w:t>
      </w:r>
      <w:proofErr w:type="spellEnd"/>
      <w:r w:rsidR="00F57F29">
        <w:rPr>
          <w:rFonts w:ascii="Times New Roman" w:eastAsia="Times New Roman" w:hAnsi="Times New Roman"/>
          <w:color w:val="000000"/>
          <w:sz w:val="24"/>
        </w:rPr>
        <w:t>).</w:t>
      </w:r>
    </w:p>
    <w:p w:rsidR="00D25BFC" w:rsidRPr="001D6D40" w:rsidRDefault="00B04C9E" w:rsidP="00514342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Дотации бюджетам сельских поселений на выравнивание бюджетной обеспеченности из бюджетов муниципальных районов 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было 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получены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07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410150</w:t>
      </w:r>
      <w:r w:rsidR="0001003A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20092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 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5,14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514342" w:rsidRP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годовом плане 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5610000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271AE" w:rsidRPr="001D6D40" w:rsidRDefault="00B04C9E" w:rsidP="008271AE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бюджетам сельских поселений на выполнение передаваемых полномочий субъектов Российской Федерации получены в полном объеме 2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7325,76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271A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субвенции в пределах сумм, необходимых для оплаты денежных обязательств.</w:t>
      </w:r>
    </w:p>
    <w:p w:rsidR="00B04C9E" w:rsidRPr="001D6D40" w:rsidRDefault="00B04C9E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бюджетам сельских поселений на осуществление первичного воинского учета на территориях, где отсутствуют военные комиссариаты</w:t>
      </w:r>
      <w:r w:rsidR="002B5A9E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получены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9575,54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или </w:t>
      </w:r>
      <w:r w:rsidR="00E808D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7,6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годовом плане </w:t>
      </w:r>
      <w:r w:rsidR="005C2FD3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271AE">
        <w:rPr>
          <w:rFonts w:ascii="Times New Roman" w:eastAsia="Times New Roman" w:hAnsi="Times New Roman" w:cs="Times New Roman"/>
          <w:sz w:val="24"/>
          <w:szCs w:val="24"/>
          <w:lang w:eastAsia="ru-RU"/>
        </w:rPr>
        <w:t>67645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субвенции в пределах сумм, необходимых для оплаты денежных обязательств.</w:t>
      </w:r>
    </w:p>
    <w:p w:rsidR="00B04C9E" w:rsidRPr="001D6D40" w:rsidRDefault="00B04C9E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</w:t>
      </w:r>
      <w:proofErr w:type="gramStart"/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заключенными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соглашениями</w:t>
      </w:r>
      <w:proofErr w:type="gramEnd"/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поступил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F54">
        <w:rPr>
          <w:rFonts w:ascii="Times New Roman" w:eastAsia="Times New Roman" w:hAnsi="Times New Roman" w:cs="Times New Roman"/>
          <w:sz w:val="24"/>
          <w:szCs w:val="24"/>
          <w:lang w:eastAsia="ru-RU"/>
        </w:rPr>
        <w:t>198130,00</w:t>
      </w:r>
      <w:r w:rsidR="00A96E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D04F54">
        <w:rPr>
          <w:rFonts w:ascii="Times New Roman" w:eastAsia="Times New Roman" w:hAnsi="Times New Roman" w:cs="Times New Roman"/>
          <w:sz w:val="24"/>
          <w:szCs w:val="24"/>
          <w:lang w:eastAsia="ru-RU"/>
        </w:rPr>
        <w:t>18,20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годовом плане 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D04F54">
        <w:rPr>
          <w:rFonts w:ascii="Times New Roman" w:eastAsia="Times New Roman" w:hAnsi="Times New Roman" w:cs="Times New Roman"/>
          <w:sz w:val="24"/>
          <w:szCs w:val="24"/>
          <w:lang w:eastAsia="ru-RU"/>
        </w:rPr>
        <w:t>43000</w:t>
      </w:r>
      <w:r w:rsidR="005143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,00 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14342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Поступление межбюджетных трансфертов в пределах сумм, необходимых для оплаты денежных обязательств.</w:t>
      </w:r>
    </w:p>
    <w:p w:rsidR="00B04C9E" w:rsidRDefault="00B04C9E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Прочие межбюджетные тр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ансферты, передаваемые </w:t>
      </w:r>
      <w:proofErr w:type="gramStart"/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бюджетам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сельских</w:t>
      </w:r>
      <w:r w:rsidR="00BE0B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поселений</w:t>
      </w:r>
      <w:proofErr w:type="gramEnd"/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поступил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сумме 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04F5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000,00</w:t>
      </w:r>
      <w:r w:rsidR="00C416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D04F54">
        <w:rPr>
          <w:rFonts w:ascii="Times New Roman" w:eastAsia="Times New Roman" w:hAnsi="Times New Roman" w:cs="Times New Roman"/>
          <w:sz w:val="24"/>
          <w:szCs w:val="24"/>
          <w:lang w:eastAsia="ru-RU"/>
        </w:rPr>
        <w:t>34,38%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1D50"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годовом плане </w:t>
      </w:r>
      <w:r w:rsidR="00D04F54">
        <w:rPr>
          <w:rFonts w:ascii="Times New Roman" w:eastAsia="Times New Roman" w:hAnsi="Times New Roman" w:cs="Times New Roman"/>
          <w:sz w:val="24"/>
          <w:szCs w:val="24"/>
          <w:lang w:eastAsia="ru-RU"/>
        </w:rPr>
        <w:t>160000</w:t>
      </w:r>
      <w:r w:rsid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6341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F1D50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Поступление </w:t>
      </w:r>
      <w:r w:rsid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прочих </w:t>
      </w:r>
      <w:r w:rsidR="00A958DD" w:rsidRPr="00A958D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межбюджетных трансфертов в пределах сумм, необходимых для оплаты денежных обязательств.</w:t>
      </w:r>
    </w:p>
    <w:p w:rsidR="00911F9C" w:rsidRPr="001D6D40" w:rsidRDefault="00911F9C" w:rsidP="00911F9C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1F9C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Прочие безвозмездные поступления в бюджеты сельских поселений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поступ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в сумме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04F5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57F29">
        <w:rPr>
          <w:rFonts w:ascii="Times New Roman" w:eastAsia="Times New Roman" w:hAnsi="Times New Roman" w:cs="Times New Roman"/>
          <w:sz w:val="24"/>
          <w:szCs w:val="24"/>
          <w:lang w:eastAsia="ru-RU"/>
        </w:rPr>
        <w:t>000,00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1D6D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04C9E" w:rsidRDefault="00B04C9E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Исполнение бюджета сельского поселения «</w:t>
      </w:r>
      <w:r w:rsidR="00A44220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Заозерье</w:t>
      </w:r>
      <w:r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>» по расходам</w:t>
      </w:r>
    </w:p>
    <w:p w:rsidR="008F1D50" w:rsidRPr="008F1D50" w:rsidRDefault="008F1D50" w:rsidP="008F1D50">
      <w:pPr>
        <w:tabs>
          <w:tab w:val="left" w:pos="0"/>
        </w:tabs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A54230" w:rsidRPr="00A54230" w:rsidRDefault="00A54230" w:rsidP="00933DF5">
      <w:pPr>
        <w:overflowPunct w:val="0"/>
        <w:autoSpaceDE w:val="0"/>
        <w:autoSpaceDN w:val="0"/>
        <w:adjustRightInd w:val="0"/>
        <w:spacing w:after="0" w:line="240" w:lineRule="auto"/>
        <w:ind w:right="141"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Общий объем </w:t>
      </w:r>
      <w:r w:rsidR="002976CE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кассовых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расходов за </w:t>
      </w:r>
      <w:r w:rsidR="00DB070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1 квартал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202</w:t>
      </w:r>
      <w:r w:rsidR="00D04F54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5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год составил </w:t>
      </w:r>
      <w:r w:rsidR="00FB323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16</w:t>
      </w:r>
      <w:r w:rsidR="00D04F54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29789,24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рубл</w:t>
      </w:r>
      <w:r w:rsidR="00BE466C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при утвержденных бюджетных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ассигнованиях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 в размере </w:t>
      </w:r>
      <w:r w:rsidR="00D04F54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7187828,03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 xml:space="preserve"> 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руб</w:t>
      </w: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л</w:t>
      </w:r>
      <w:r w:rsidR="009D316F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ей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 xml:space="preserve">, выполнение составило </w:t>
      </w:r>
      <w:r w:rsidR="00DB0706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="00D04F54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2</w:t>
      </w:r>
      <w:r w:rsidR="00FB3233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,</w:t>
      </w:r>
      <w:r w:rsidR="00D04F54">
        <w:rPr>
          <w:rFonts w:ascii="Times New Roman" w:eastAsia="Times New Roman" w:hAnsi="Times New Roman" w:cs="Times New Roman"/>
          <w:bCs/>
          <w:iCs/>
          <w:sz w:val="24"/>
          <w:szCs w:val="24"/>
          <w:lang w:eastAsia="x-none"/>
        </w:rPr>
        <w:t>67</w:t>
      </w:r>
      <w:r w:rsidRPr="00A54230">
        <w:rPr>
          <w:rFonts w:ascii="Times New Roman" w:eastAsia="Times New Roman" w:hAnsi="Times New Roman" w:cs="Times New Roman"/>
          <w:bCs/>
          <w:iCs/>
          <w:sz w:val="24"/>
          <w:szCs w:val="24"/>
          <w:lang w:val="x-none" w:eastAsia="x-none"/>
        </w:rPr>
        <w:t>%.</w:t>
      </w:r>
    </w:p>
    <w:p w:rsidR="00A54230" w:rsidRDefault="00A54230" w:rsidP="008F1D50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42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главным распорядителям средств бюджета сельского поселения данные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B0706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 w:rsidR="009E7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48EA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D04F5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F1D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отражены в таблице.</w:t>
      </w:r>
    </w:p>
    <w:p w:rsidR="00A54230" w:rsidRDefault="008F1D50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A54230" w:rsidRPr="00A54230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10060" w:type="dxa"/>
        <w:tblLayout w:type="fixed"/>
        <w:tblLook w:val="04A0" w:firstRow="1" w:lastRow="0" w:firstColumn="1" w:lastColumn="0" w:noHBand="0" w:noVBand="1"/>
      </w:tblPr>
      <w:tblGrid>
        <w:gridCol w:w="817"/>
        <w:gridCol w:w="4423"/>
        <w:gridCol w:w="1276"/>
        <w:gridCol w:w="1984"/>
        <w:gridCol w:w="1560"/>
      </w:tblGrid>
      <w:tr w:rsidR="00E80658" w:rsidRPr="008F1D50" w:rsidTr="00E80658">
        <w:tc>
          <w:tcPr>
            <w:tcW w:w="817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4423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 xml:space="preserve">Главные распорядители </w:t>
            </w:r>
          </w:p>
        </w:tc>
        <w:tc>
          <w:tcPr>
            <w:tcW w:w="1276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Утверждено</w:t>
            </w:r>
          </w:p>
        </w:tc>
        <w:tc>
          <w:tcPr>
            <w:tcW w:w="1984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 w:rsidRPr="008F1D50"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Кассовое исполнение</w:t>
            </w:r>
          </w:p>
        </w:tc>
        <w:tc>
          <w:tcPr>
            <w:tcW w:w="1560" w:type="dxa"/>
          </w:tcPr>
          <w:p w:rsidR="00E80658" w:rsidRPr="008F1D50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E80658" w:rsidRPr="00F65646" w:rsidTr="00E80658">
        <w:tc>
          <w:tcPr>
            <w:tcW w:w="817" w:type="dxa"/>
          </w:tcPr>
          <w:p w:rsidR="00E80658" w:rsidRPr="00F65646" w:rsidRDefault="00E80658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921</w:t>
            </w:r>
          </w:p>
        </w:tc>
        <w:tc>
          <w:tcPr>
            <w:tcW w:w="4423" w:type="dxa"/>
          </w:tcPr>
          <w:p w:rsidR="00E80658" w:rsidRPr="00F65646" w:rsidRDefault="00E80658" w:rsidP="00FB323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Совет сельского поселения «</w:t>
            </w:r>
            <w:r w:rsidR="00FB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Заозерье</w:t>
            </w: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E80658" w:rsidRPr="00F65646" w:rsidRDefault="00FB3233" w:rsidP="00FB32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80658"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  <w:tc>
          <w:tcPr>
            <w:tcW w:w="1984" w:type="dxa"/>
          </w:tcPr>
          <w:p w:rsidR="00E80658" w:rsidRPr="00F65646" w:rsidRDefault="00DB0706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  <w:r w:rsidR="00E80658"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</w:tc>
        <w:tc>
          <w:tcPr>
            <w:tcW w:w="1560" w:type="dxa"/>
          </w:tcPr>
          <w:p w:rsidR="00E80658" w:rsidRPr="00F65646" w:rsidRDefault="00D04F54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  <w:r w:rsidR="00E80658"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E80658" w:rsidRPr="00F65646" w:rsidTr="00E80658">
        <w:tc>
          <w:tcPr>
            <w:tcW w:w="817" w:type="dxa"/>
          </w:tcPr>
          <w:p w:rsidR="00E80658" w:rsidRPr="00F65646" w:rsidRDefault="00E80658" w:rsidP="00077489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925</w:t>
            </w:r>
          </w:p>
        </w:tc>
        <w:tc>
          <w:tcPr>
            <w:tcW w:w="4423" w:type="dxa"/>
          </w:tcPr>
          <w:p w:rsidR="00E80658" w:rsidRPr="00F65646" w:rsidRDefault="00E80658" w:rsidP="00FB3233">
            <w:pPr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 сельского поселения «</w:t>
            </w:r>
            <w:r w:rsidR="00FB323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Заозерье</w:t>
            </w:r>
            <w:r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  <w:tc>
          <w:tcPr>
            <w:tcW w:w="1276" w:type="dxa"/>
          </w:tcPr>
          <w:p w:rsidR="00E80658" w:rsidRPr="00F65646" w:rsidRDefault="00D04F54" w:rsidP="005A7B67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7182828,03</w:t>
            </w:r>
          </w:p>
        </w:tc>
        <w:tc>
          <w:tcPr>
            <w:tcW w:w="1984" w:type="dxa"/>
          </w:tcPr>
          <w:p w:rsidR="00E80658" w:rsidRPr="00F65646" w:rsidRDefault="00D04F54" w:rsidP="00A26BDE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1624789,24</w:t>
            </w:r>
          </w:p>
        </w:tc>
        <w:tc>
          <w:tcPr>
            <w:tcW w:w="1560" w:type="dxa"/>
          </w:tcPr>
          <w:p w:rsidR="00E80658" w:rsidRPr="00F65646" w:rsidRDefault="00D04F54" w:rsidP="00FB3233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22,62</w:t>
            </w:r>
            <w:r w:rsidR="00E80658" w:rsidRPr="00F6564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%</w:t>
            </w:r>
          </w:p>
        </w:tc>
      </w:tr>
      <w:tr w:rsidR="00E80658" w:rsidRPr="00F65646" w:rsidTr="00E80658">
        <w:tc>
          <w:tcPr>
            <w:tcW w:w="5240" w:type="dxa"/>
            <w:gridSpan w:val="2"/>
          </w:tcPr>
          <w:p w:rsidR="00E80658" w:rsidRPr="00F65646" w:rsidRDefault="00E80658" w:rsidP="00077489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F65646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1276" w:type="dxa"/>
          </w:tcPr>
          <w:p w:rsidR="00E80658" w:rsidRPr="00F65646" w:rsidRDefault="00D04F54" w:rsidP="005A7B67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7187828,03</w:t>
            </w:r>
          </w:p>
        </w:tc>
        <w:tc>
          <w:tcPr>
            <w:tcW w:w="1984" w:type="dxa"/>
          </w:tcPr>
          <w:p w:rsidR="00E80658" w:rsidRPr="00F65646" w:rsidRDefault="00D04F54" w:rsidP="00A26BDE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1629789,24</w:t>
            </w:r>
          </w:p>
        </w:tc>
        <w:tc>
          <w:tcPr>
            <w:tcW w:w="1560" w:type="dxa"/>
          </w:tcPr>
          <w:p w:rsidR="00E80658" w:rsidRPr="00F65646" w:rsidRDefault="00D04F54" w:rsidP="00FB3233">
            <w:pPr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22,67</w:t>
            </w:r>
          </w:p>
        </w:tc>
      </w:tr>
    </w:tbl>
    <w:p w:rsidR="002976CE" w:rsidRPr="00F65646" w:rsidRDefault="002976CE" w:rsidP="0007748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18"/>
          <w:szCs w:val="18"/>
          <w:highlight w:val="yellow"/>
          <w:lang w:eastAsia="ru-RU"/>
        </w:rPr>
      </w:pPr>
    </w:p>
    <w:p w:rsidR="000E3868" w:rsidRDefault="002976CE" w:rsidP="00E80658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F65646">
        <w:rPr>
          <w:rFonts w:ascii="Times New Roman" w:eastAsia="Times New Roman" w:hAnsi="Times New Roman" w:cs="Times New Roman"/>
          <w:sz w:val="24"/>
          <w:szCs w:val="20"/>
          <w:lang w:eastAsia="ru-RU"/>
        </w:rPr>
        <w:t>Информация о выполнении плановых показателей по разделам бюджета сельского поселения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«</w:t>
      </w:r>
      <w:r w:rsidR="00FB3233">
        <w:rPr>
          <w:rFonts w:ascii="Times New Roman" w:eastAsia="Times New Roman" w:hAnsi="Times New Roman" w:cs="Times New Roman"/>
          <w:sz w:val="24"/>
          <w:szCs w:val="20"/>
          <w:lang w:eastAsia="ru-RU"/>
        </w:rPr>
        <w:t>Заозерье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» 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на 01 </w:t>
      </w:r>
      <w:r w:rsidR="00F65646">
        <w:rPr>
          <w:rFonts w:ascii="Times New Roman" w:eastAsia="Times New Roman" w:hAnsi="Times New Roman" w:cs="Times New Roman"/>
          <w:sz w:val="24"/>
          <w:szCs w:val="20"/>
          <w:lang w:eastAsia="ru-RU"/>
        </w:rPr>
        <w:t>апреля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D04F54">
        <w:rPr>
          <w:rFonts w:ascii="Times New Roman" w:eastAsia="Times New Roman" w:hAnsi="Times New Roman" w:cs="Times New Roman"/>
          <w:sz w:val="24"/>
          <w:szCs w:val="20"/>
          <w:lang w:eastAsia="ru-RU"/>
        </w:rPr>
        <w:t>4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и 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2</w:t>
      </w:r>
      <w:r w:rsidR="00D04F54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Pr="002976C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год</w:t>
      </w:r>
      <w:r w:rsidR="004A061F">
        <w:rPr>
          <w:rFonts w:ascii="Times New Roman" w:eastAsia="Times New Roman" w:hAnsi="Times New Roman" w:cs="Times New Roman"/>
          <w:sz w:val="24"/>
          <w:szCs w:val="20"/>
          <w:lang w:eastAsia="ru-RU"/>
        </w:rPr>
        <w:t>ов</w:t>
      </w:r>
      <w:r w:rsidR="00E80658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представлена в таблице.</w:t>
      </w:r>
    </w:p>
    <w:p w:rsidR="00023423" w:rsidRDefault="00023423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23423" w:rsidRDefault="00023423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E3868" w:rsidRDefault="000E3868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E3868">
        <w:rPr>
          <w:rFonts w:ascii="Times New Roman" w:eastAsia="Times New Roman" w:hAnsi="Times New Roman" w:cs="Times New Roman"/>
          <w:sz w:val="18"/>
          <w:szCs w:val="18"/>
          <w:lang w:eastAsia="ru-RU"/>
        </w:rPr>
        <w:t>(в рублях)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72"/>
        <w:gridCol w:w="1105"/>
        <w:gridCol w:w="1305"/>
        <w:gridCol w:w="1247"/>
        <w:gridCol w:w="1276"/>
        <w:gridCol w:w="1162"/>
        <w:gridCol w:w="993"/>
      </w:tblGrid>
      <w:tr w:rsidR="00E80658" w:rsidRPr="00E80658" w:rsidTr="00E80658">
        <w:tc>
          <w:tcPr>
            <w:tcW w:w="2972" w:type="dxa"/>
            <w:vMerge w:val="restart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2410" w:type="dxa"/>
            <w:gridSpan w:val="2"/>
          </w:tcPr>
          <w:p w:rsidR="00E80658" w:rsidRDefault="00E806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Ут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верждено</w:t>
            </w:r>
          </w:p>
          <w:p w:rsidR="00AE5970" w:rsidRPr="00E80658" w:rsidRDefault="00AE5970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(план)</w:t>
            </w:r>
          </w:p>
        </w:tc>
        <w:tc>
          <w:tcPr>
            <w:tcW w:w="2523" w:type="dxa"/>
            <w:gridSpan w:val="2"/>
          </w:tcPr>
          <w:p w:rsidR="00E80658" w:rsidRPr="00E80658" w:rsidRDefault="00E80658" w:rsidP="00E80658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Кассовые расходы</w:t>
            </w: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2155" w:type="dxa"/>
            <w:gridSpan w:val="2"/>
          </w:tcPr>
          <w:p w:rsidR="00E80658" w:rsidRPr="00E80658" w:rsidRDefault="00E80658" w:rsidP="001E0255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Исполнение плана в %</w:t>
            </w:r>
          </w:p>
        </w:tc>
      </w:tr>
      <w:tr w:rsidR="00E80658" w:rsidTr="00E80658">
        <w:tc>
          <w:tcPr>
            <w:tcW w:w="2972" w:type="dxa"/>
            <w:vMerge/>
          </w:tcPr>
          <w:p w:rsidR="00E80658" w:rsidRDefault="00E80658" w:rsidP="00077489">
            <w:pPr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5" w:type="dxa"/>
          </w:tcPr>
          <w:p w:rsidR="00E80658" w:rsidRPr="00E80658" w:rsidRDefault="00E80658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6743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305" w:type="dxa"/>
          </w:tcPr>
          <w:p w:rsidR="00E80658" w:rsidRPr="00E80658" w:rsidRDefault="00E80658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E8065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02</w:t>
            </w:r>
            <w:r w:rsidR="006743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47" w:type="dxa"/>
          </w:tcPr>
          <w:p w:rsidR="00E80658" w:rsidRPr="00E80658" w:rsidRDefault="00EC1CF4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6743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276" w:type="dxa"/>
          </w:tcPr>
          <w:p w:rsidR="00E80658" w:rsidRPr="00E80658" w:rsidRDefault="00EC1CF4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6743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62" w:type="dxa"/>
          </w:tcPr>
          <w:p w:rsidR="00E80658" w:rsidRPr="00E80658" w:rsidRDefault="00EC1CF4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6743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4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993" w:type="dxa"/>
          </w:tcPr>
          <w:p w:rsidR="00E80658" w:rsidRPr="00E80658" w:rsidRDefault="00EC1CF4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202</w:t>
            </w:r>
            <w:r w:rsidR="006743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5</w:t>
            </w:r>
            <w:r w:rsidR="00F65646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г.</w:t>
            </w:r>
          </w:p>
        </w:tc>
      </w:tr>
      <w:tr w:rsidR="00674347" w:rsidTr="00E80658">
        <w:tc>
          <w:tcPr>
            <w:tcW w:w="2972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расходы (01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4185804,76</w:t>
            </w:r>
          </w:p>
        </w:tc>
        <w:tc>
          <w:tcPr>
            <w:tcW w:w="1305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4941643,03</w:t>
            </w:r>
          </w:p>
        </w:tc>
        <w:tc>
          <w:tcPr>
            <w:tcW w:w="1247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1119397,79</w:t>
            </w:r>
          </w:p>
        </w:tc>
        <w:tc>
          <w:tcPr>
            <w:tcW w:w="1276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1123853,64</w:t>
            </w:r>
          </w:p>
        </w:tc>
        <w:tc>
          <w:tcPr>
            <w:tcW w:w="1162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26,74</w:t>
            </w:r>
          </w:p>
        </w:tc>
        <w:tc>
          <w:tcPr>
            <w:tcW w:w="993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22,74</w:t>
            </w:r>
          </w:p>
        </w:tc>
      </w:tr>
      <w:tr w:rsidR="00674347" w:rsidTr="00E80658">
        <w:tc>
          <w:tcPr>
            <w:tcW w:w="2972" w:type="dxa"/>
            <w:vAlign w:val="center"/>
          </w:tcPr>
          <w:p w:rsidR="00674347" w:rsidRPr="004A061F" w:rsidRDefault="00674347" w:rsidP="00674347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 (03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  <w:vAlign w:val="center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61000,00</w:t>
            </w:r>
          </w:p>
        </w:tc>
        <w:tc>
          <w:tcPr>
            <w:tcW w:w="1305" w:type="dxa"/>
            <w:vAlign w:val="center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70000,00</w:t>
            </w:r>
          </w:p>
        </w:tc>
        <w:tc>
          <w:tcPr>
            <w:tcW w:w="1247" w:type="dxa"/>
            <w:vAlign w:val="center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76" w:type="dxa"/>
            <w:vAlign w:val="center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8000,00</w:t>
            </w:r>
          </w:p>
        </w:tc>
        <w:tc>
          <w:tcPr>
            <w:tcW w:w="1162" w:type="dxa"/>
            <w:vAlign w:val="center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vAlign w:val="center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11,43</w:t>
            </w:r>
          </w:p>
        </w:tc>
      </w:tr>
      <w:tr w:rsidR="00674347" w:rsidTr="00E80658">
        <w:tc>
          <w:tcPr>
            <w:tcW w:w="2972" w:type="dxa"/>
            <w:vAlign w:val="center"/>
          </w:tcPr>
          <w:p w:rsidR="00674347" w:rsidRPr="004A061F" w:rsidRDefault="00674347" w:rsidP="00674347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Национальная экономика (04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1001000,00</w:t>
            </w:r>
          </w:p>
        </w:tc>
        <w:tc>
          <w:tcPr>
            <w:tcW w:w="1305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881000,00</w:t>
            </w:r>
          </w:p>
        </w:tc>
        <w:tc>
          <w:tcPr>
            <w:tcW w:w="1247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233972,10</w:t>
            </w:r>
          </w:p>
        </w:tc>
        <w:tc>
          <w:tcPr>
            <w:tcW w:w="1276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195720,00</w:t>
            </w:r>
          </w:p>
        </w:tc>
        <w:tc>
          <w:tcPr>
            <w:tcW w:w="1162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23,37</w:t>
            </w:r>
          </w:p>
        </w:tc>
        <w:tc>
          <w:tcPr>
            <w:tcW w:w="993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22,22</w:t>
            </w:r>
          </w:p>
        </w:tc>
      </w:tr>
      <w:tr w:rsidR="00674347" w:rsidTr="00E80658">
        <w:tc>
          <w:tcPr>
            <w:tcW w:w="2972" w:type="dxa"/>
            <w:vAlign w:val="center"/>
          </w:tcPr>
          <w:p w:rsidR="00674347" w:rsidRPr="004A061F" w:rsidRDefault="00674347" w:rsidP="00674347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Жилищно-коммунальное хозяйство (05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749400,00</w:t>
            </w:r>
          </w:p>
        </w:tc>
        <w:tc>
          <w:tcPr>
            <w:tcW w:w="1305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281000,00</w:t>
            </w:r>
          </w:p>
        </w:tc>
        <w:tc>
          <w:tcPr>
            <w:tcW w:w="1247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28915,31</w:t>
            </w:r>
          </w:p>
        </w:tc>
        <w:tc>
          <w:tcPr>
            <w:tcW w:w="1276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47194,48</w:t>
            </w:r>
          </w:p>
        </w:tc>
        <w:tc>
          <w:tcPr>
            <w:tcW w:w="1162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3,86</w:t>
            </w:r>
          </w:p>
        </w:tc>
        <w:tc>
          <w:tcPr>
            <w:tcW w:w="993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16,80</w:t>
            </w:r>
          </w:p>
        </w:tc>
      </w:tr>
      <w:tr w:rsidR="00674347" w:rsidTr="00E80658">
        <w:tc>
          <w:tcPr>
            <w:tcW w:w="2972" w:type="dxa"/>
            <w:vAlign w:val="center"/>
          </w:tcPr>
          <w:p w:rsidR="00674347" w:rsidRPr="004A061F" w:rsidRDefault="00674347" w:rsidP="00674347">
            <w:pPr>
              <w:outlineLvl w:val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Социальная политика (10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Pr="004A06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105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967000,00</w:t>
            </w:r>
          </w:p>
        </w:tc>
        <w:tc>
          <w:tcPr>
            <w:tcW w:w="1305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1014185,00</w:t>
            </w:r>
          </w:p>
        </w:tc>
        <w:tc>
          <w:tcPr>
            <w:tcW w:w="1247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234115,91</w:t>
            </w:r>
          </w:p>
        </w:tc>
        <w:tc>
          <w:tcPr>
            <w:tcW w:w="1276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255021,12</w:t>
            </w:r>
          </w:p>
        </w:tc>
        <w:tc>
          <w:tcPr>
            <w:tcW w:w="1162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24,21</w:t>
            </w:r>
          </w:p>
        </w:tc>
        <w:tc>
          <w:tcPr>
            <w:tcW w:w="993" w:type="dxa"/>
          </w:tcPr>
          <w:p w:rsidR="00674347" w:rsidRPr="004A061F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25,15</w:t>
            </w:r>
          </w:p>
        </w:tc>
      </w:tr>
      <w:tr w:rsidR="00674347" w:rsidRPr="002561C4" w:rsidTr="00E80658">
        <w:tc>
          <w:tcPr>
            <w:tcW w:w="2972" w:type="dxa"/>
            <w:vAlign w:val="center"/>
          </w:tcPr>
          <w:p w:rsidR="00674347" w:rsidRPr="002561C4" w:rsidRDefault="00674347" w:rsidP="00674347">
            <w:pPr>
              <w:outlineLvl w:val="0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</w:pPr>
            <w:r w:rsidRPr="002561C4"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  <w:lang w:eastAsia="ru-RU"/>
              </w:rPr>
              <w:t>ВСЕГО РАСХОДОВ</w:t>
            </w:r>
          </w:p>
        </w:tc>
        <w:tc>
          <w:tcPr>
            <w:tcW w:w="1105" w:type="dxa"/>
          </w:tcPr>
          <w:p w:rsidR="00674347" w:rsidRPr="002561C4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6964204,76</w:t>
            </w:r>
          </w:p>
        </w:tc>
        <w:tc>
          <w:tcPr>
            <w:tcW w:w="1305" w:type="dxa"/>
          </w:tcPr>
          <w:p w:rsidR="00674347" w:rsidRPr="002561C4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7187828,03</w:t>
            </w:r>
          </w:p>
        </w:tc>
        <w:tc>
          <w:tcPr>
            <w:tcW w:w="1247" w:type="dxa"/>
          </w:tcPr>
          <w:p w:rsidR="00674347" w:rsidRPr="002561C4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1616401,11</w:t>
            </w:r>
          </w:p>
        </w:tc>
        <w:tc>
          <w:tcPr>
            <w:tcW w:w="1276" w:type="dxa"/>
          </w:tcPr>
          <w:p w:rsidR="00674347" w:rsidRPr="002561C4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1629789,24</w:t>
            </w:r>
          </w:p>
        </w:tc>
        <w:tc>
          <w:tcPr>
            <w:tcW w:w="1162" w:type="dxa"/>
          </w:tcPr>
          <w:p w:rsidR="00674347" w:rsidRPr="002561C4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23,21</w:t>
            </w:r>
          </w:p>
        </w:tc>
        <w:tc>
          <w:tcPr>
            <w:tcW w:w="993" w:type="dxa"/>
          </w:tcPr>
          <w:p w:rsidR="00674347" w:rsidRPr="002561C4" w:rsidRDefault="00674347" w:rsidP="00674347">
            <w:pPr>
              <w:overflowPunct w:val="0"/>
              <w:autoSpaceDE w:val="0"/>
              <w:autoSpaceDN w:val="0"/>
              <w:adjustRightInd w:val="0"/>
              <w:ind w:right="-1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  <w:lang w:eastAsia="ru-RU"/>
              </w:rPr>
              <w:t>22,67</w:t>
            </w:r>
          </w:p>
        </w:tc>
      </w:tr>
    </w:tbl>
    <w:p w:rsidR="00276121" w:rsidRPr="000E3868" w:rsidRDefault="00276121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right"/>
        <w:textAlignment w:val="baseline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B60029" w:rsidRDefault="00C85DDE" w:rsidP="00C85DDE">
      <w:pPr>
        <w:overflowPunct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Исходя из данной таблицы, средства бюджета сельского поселения в 202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в сравнении с 202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расходовались по следующим направлениям:</w:t>
      </w:r>
    </w:p>
    <w:p w:rsidR="005B487C" w:rsidRPr="002976CE" w:rsidRDefault="00C85DDE" w:rsidP="00933DF5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и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сполнение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разделу «Общегосударственные вопросы» за 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составило 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1123853,64</w:t>
      </w:r>
      <w:r w:rsidR="006F53C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941643,03</w:t>
      </w:r>
      <w:r w:rsidR="00A636F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F55B9F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08579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85798">
        <w:rPr>
          <w:rFonts w:ascii="Times New Roman" w:eastAsia="Times New Roman" w:hAnsi="Times New Roman" w:cs="Times New Roman"/>
          <w:sz w:val="24"/>
          <w:szCs w:val="24"/>
          <w:lang w:eastAsia="ru-RU"/>
        </w:rPr>
        <w:t>,74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%. По сравнению с анал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огичным периодом прошлого года</w:t>
      </w:r>
      <w:r w:rsidR="000F0D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расходы за 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4455,85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76CE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r w:rsidR="004228B0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="00980C7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A636F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</w:t>
      </w:r>
      <w:r w:rsid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связано</w:t>
      </w:r>
      <w:r w:rsidR="00B60029" w:rsidRP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0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6F53C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ростом</w:t>
      </w:r>
      <w:r w:rsidR="00F81C29" w:rsidRPr="00F81C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оплаты 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труда с 01.0</w:t>
      </w:r>
      <w:r w:rsidR="000E260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</w:t>
      </w:r>
      <w:r w:rsidR="006F53C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МРОТ с 01.01.202</w:t>
      </w:r>
      <w:r w:rsidR="006743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F53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</w:t>
      </w:r>
      <w:r w:rsidR="009D03E3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стоимости</w:t>
      </w:r>
      <w:r w:rsidR="00AE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</w:t>
      </w:r>
      <w:r w:rsidR="00217E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услуг.</w:t>
      </w:r>
    </w:p>
    <w:p w:rsidR="009A40DE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428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81428">
        <w:rPr>
          <w:rFonts w:ascii="Times New Roman" w:eastAsia="Calibri" w:hAnsi="Times New Roman" w:cs="Times New Roman"/>
          <w:i/>
          <w:sz w:val="24"/>
          <w:szCs w:val="24"/>
        </w:rPr>
        <w:t>0102 «Функционирование высшего должностного лица субъекта Российской Федерации и муниципального образования»</w:t>
      </w:r>
      <w:r w:rsidR="004B6B87" w:rsidRPr="00181428">
        <w:rPr>
          <w:rFonts w:ascii="Times New Roman" w:eastAsia="Calibri" w:hAnsi="Times New Roman" w:cs="Times New Roman"/>
          <w:sz w:val="24"/>
          <w:szCs w:val="24"/>
        </w:rPr>
        <w:t xml:space="preserve"> составили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7E54">
        <w:rPr>
          <w:rFonts w:ascii="Times New Roman" w:eastAsia="Calibri" w:hAnsi="Times New Roman" w:cs="Times New Roman"/>
          <w:sz w:val="24"/>
          <w:szCs w:val="24"/>
        </w:rPr>
        <w:t>233818,63</w:t>
      </w:r>
      <w:r w:rsidR="00F81C29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>рубл</w:t>
      </w:r>
      <w:r w:rsidR="00B60029" w:rsidRPr="00181428">
        <w:rPr>
          <w:rFonts w:ascii="Times New Roman" w:eastAsia="Calibri" w:hAnsi="Times New Roman" w:cs="Times New Roman"/>
          <w:sz w:val="24"/>
          <w:szCs w:val="24"/>
        </w:rPr>
        <w:t>ей</w:t>
      </w:r>
      <w:r w:rsidR="001258BB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60C">
        <w:rPr>
          <w:rFonts w:ascii="Times New Roman" w:eastAsia="Calibri" w:hAnsi="Times New Roman" w:cs="Times New Roman"/>
          <w:sz w:val="24"/>
          <w:szCs w:val="24"/>
        </w:rPr>
        <w:t xml:space="preserve">при плане </w:t>
      </w:r>
      <w:r w:rsidR="00217E54">
        <w:rPr>
          <w:rFonts w:ascii="Times New Roman" w:eastAsia="Calibri" w:hAnsi="Times New Roman" w:cs="Times New Roman"/>
          <w:sz w:val="24"/>
          <w:szCs w:val="24"/>
        </w:rPr>
        <w:t>1062781,76</w:t>
      </w:r>
      <w:r w:rsidR="000E260C">
        <w:rPr>
          <w:rFonts w:ascii="Times New Roman" w:eastAsia="Calibri" w:hAnsi="Times New Roman" w:cs="Times New Roman"/>
          <w:sz w:val="24"/>
          <w:szCs w:val="24"/>
        </w:rPr>
        <w:t xml:space="preserve"> руб. </w:t>
      </w:r>
      <w:r w:rsidR="001258BB" w:rsidRPr="00181428">
        <w:rPr>
          <w:rFonts w:ascii="Times New Roman" w:eastAsia="Calibri" w:hAnsi="Times New Roman" w:cs="Times New Roman"/>
          <w:sz w:val="24"/>
          <w:szCs w:val="24"/>
        </w:rPr>
        <w:t>или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60C">
        <w:rPr>
          <w:rFonts w:ascii="Times New Roman" w:eastAsia="Calibri" w:hAnsi="Times New Roman" w:cs="Times New Roman"/>
          <w:sz w:val="24"/>
          <w:szCs w:val="24"/>
        </w:rPr>
        <w:t>2</w:t>
      </w:r>
      <w:r w:rsidR="00217E54">
        <w:rPr>
          <w:rFonts w:ascii="Times New Roman" w:eastAsia="Calibri" w:hAnsi="Times New Roman" w:cs="Times New Roman"/>
          <w:sz w:val="24"/>
          <w:szCs w:val="24"/>
        </w:rPr>
        <w:t>2</w:t>
      </w:r>
      <w:r w:rsidR="000E260C">
        <w:rPr>
          <w:rFonts w:ascii="Times New Roman" w:eastAsia="Calibri" w:hAnsi="Times New Roman" w:cs="Times New Roman"/>
          <w:sz w:val="24"/>
          <w:szCs w:val="24"/>
        </w:rPr>
        <w:t>,</w:t>
      </w:r>
      <w:r w:rsidR="00217E54">
        <w:rPr>
          <w:rFonts w:ascii="Times New Roman" w:eastAsia="Calibri" w:hAnsi="Times New Roman" w:cs="Times New Roman"/>
          <w:sz w:val="24"/>
          <w:szCs w:val="24"/>
        </w:rPr>
        <w:t>00</w:t>
      </w:r>
      <w:r w:rsidR="006810A0" w:rsidRPr="00181428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  <w:r w:rsidR="00B01648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810A0" w:rsidRDefault="006810A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 на расходы по оплате труда и взносы по обязательному страхованию главы сельского поселения.</w:t>
      </w:r>
    </w:p>
    <w:p w:rsidR="004228B0" w:rsidRPr="004228B0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Кассовые расходы 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0104 «Функционирование Правительства РФ, высших исполнительных органов государственной власти субъектов Российской Федерации, местных администраций»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258BB">
        <w:rPr>
          <w:rFonts w:ascii="Times New Roman" w:eastAsia="Calibri" w:hAnsi="Times New Roman" w:cs="Times New Roman"/>
          <w:sz w:val="24"/>
          <w:szCs w:val="24"/>
        </w:rPr>
        <w:t>составили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7E54">
        <w:rPr>
          <w:rFonts w:ascii="Times New Roman" w:eastAsia="Calibri" w:hAnsi="Times New Roman" w:cs="Times New Roman"/>
          <w:sz w:val="24"/>
          <w:szCs w:val="24"/>
        </w:rPr>
        <w:t>691597,01</w:t>
      </w:r>
      <w:r w:rsidR="00F81C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228B0">
        <w:rPr>
          <w:rFonts w:ascii="Times New Roman" w:eastAsia="Calibri" w:hAnsi="Times New Roman" w:cs="Times New Roman"/>
          <w:sz w:val="24"/>
          <w:szCs w:val="24"/>
        </w:rPr>
        <w:t>рубл</w:t>
      </w:r>
      <w:r w:rsidR="009A40DE">
        <w:rPr>
          <w:rFonts w:ascii="Times New Roman" w:eastAsia="Calibri" w:hAnsi="Times New Roman" w:cs="Times New Roman"/>
          <w:sz w:val="24"/>
          <w:szCs w:val="24"/>
        </w:rPr>
        <w:t>ей</w:t>
      </w:r>
      <w:r w:rsidR="000E260C">
        <w:rPr>
          <w:rFonts w:ascii="Times New Roman" w:eastAsia="Calibri" w:hAnsi="Times New Roman" w:cs="Times New Roman"/>
          <w:sz w:val="24"/>
          <w:szCs w:val="24"/>
        </w:rPr>
        <w:t xml:space="preserve"> при плане </w:t>
      </w:r>
      <w:r w:rsidR="00217E54">
        <w:rPr>
          <w:rFonts w:ascii="Times New Roman" w:eastAsia="Calibri" w:hAnsi="Times New Roman" w:cs="Times New Roman"/>
          <w:sz w:val="24"/>
          <w:szCs w:val="24"/>
        </w:rPr>
        <w:t>3154423,27</w:t>
      </w:r>
      <w:r w:rsidR="000E260C">
        <w:rPr>
          <w:rFonts w:ascii="Times New Roman" w:eastAsia="Calibri" w:hAnsi="Times New Roman" w:cs="Times New Roman"/>
          <w:sz w:val="24"/>
          <w:szCs w:val="24"/>
        </w:rPr>
        <w:t xml:space="preserve"> руб.</w:t>
      </w:r>
      <w:r w:rsidR="00A554C6">
        <w:rPr>
          <w:rFonts w:ascii="Times New Roman" w:eastAsia="Calibri" w:hAnsi="Times New Roman" w:cs="Times New Roman"/>
          <w:sz w:val="24"/>
          <w:szCs w:val="24"/>
        </w:rPr>
        <w:t xml:space="preserve"> или</w:t>
      </w:r>
      <w:r w:rsidRPr="004228B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60C">
        <w:rPr>
          <w:rFonts w:ascii="Times New Roman" w:eastAsia="Calibri" w:hAnsi="Times New Roman" w:cs="Times New Roman"/>
          <w:sz w:val="24"/>
          <w:szCs w:val="24"/>
        </w:rPr>
        <w:t>2</w:t>
      </w:r>
      <w:r w:rsidR="00217E54">
        <w:rPr>
          <w:rFonts w:ascii="Times New Roman" w:eastAsia="Calibri" w:hAnsi="Times New Roman" w:cs="Times New Roman"/>
          <w:sz w:val="24"/>
          <w:szCs w:val="24"/>
        </w:rPr>
        <w:t>1,92</w:t>
      </w:r>
      <w:r w:rsidRPr="004228B0">
        <w:rPr>
          <w:rFonts w:ascii="Times New Roman" w:eastAsia="Calibri" w:hAnsi="Times New Roman" w:cs="Times New Roman"/>
          <w:sz w:val="24"/>
          <w:szCs w:val="24"/>
        </w:rPr>
        <w:t>% от запланированной на год суммы.</w:t>
      </w:r>
    </w:p>
    <w:p w:rsidR="00D04D8C" w:rsidRDefault="004228B0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228B0">
        <w:rPr>
          <w:rFonts w:ascii="Times New Roman" w:eastAsia="Calibri" w:hAnsi="Times New Roman" w:cs="Times New Roman"/>
          <w:sz w:val="24"/>
          <w:szCs w:val="24"/>
        </w:rPr>
        <w:t>В составе данного подраздела денежные средства направлены</w:t>
      </w:r>
      <w:r w:rsidR="00782CA5">
        <w:rPr>
          <w:rFonts w:ascii="Times New Roman" w:eastAsia="Calibri" w:hAnsi="Times New Roman" w:cs="Times New Roman"/>
          <w:sz w:val="24"/>
          <w:szCs w:val="24"/>
        </w:rPr>
        <w:t xml:space="preserve"> на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функционирование местной администрации</w:t>
      </w:r>
      <w:r w:rsidR="00980C7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B01648">
        <w:rPr>
          <w:rFonts w:ascii="Times New Roman" w:eastAsia="Calibri" w:hAnsi="Times New Roman" w:cs="Times New Roman"/>
          <w:sz w:val="24"/>
          <w:szCs w:val="24"/>
        </w:rPr>
        <w:t>осуществление воинского учета на территориях, где отсутствуют военные комиссариаты</w:t>
      </w:r>
      <w:r w:rsidR="00980C7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A40DE" w:rsidRDefault="003A5C36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0106 «Обеспечение деятельности финансовых, налоговых и таможенных органов и органов финансового (финансово-бюджетного) надзора</w:t>
      </w:r>
      <w:r w:rsidR="00102F2C"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кассовые расходы составили </w:t>
      </w:r>
      <w:r w:rsidR="000E260C">
        <w:rPr>
          <w:rFonts w:ascii="Times New Roman" w:eastAsia="Calibri" w:hAnsi="Times New Roman" w:cs="Times New Roman"/>
          <w:sz w:val="24"/>
          <w:szCs w:val="24"/>
        </w:rPr>
        <w:t>1</w:t>
      </w:r>
      <w:r w:rsidR="00217E54">
        <w:rPr>
          <w:rFonts w:ascii="Times New Roman" w:eastAsia="Calibri" w:hAnsi="Times New Roman" w:cs="Times New Roman"/>
          <w:sz w:val="24"/>
          <w:szCs w:val="24"/>
        </w:rPr>
        <w:t>7</w:t>
      </w:r>
      <w:r w:rsidR="000E260C">
        <w:rPr>
          <w:rFonts w:ascii="Times New Roman" w:eastAsia="Calibri" w:hAnsi="Times New Roman" w:cs="Times New Roman"/>
          <w:sz w:val="24"/>
          <w:szCs w:val="24"/>
        </w:rPr>
        <w:t>6000</w:t>
      </w:r>
      <w:r w:rsidR="00F10C0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00 рублей</w:t>
      </w:r>
      <w:r w:rsidR="000E260C">
        <w:rPr>
          <w:rFonts w:ascii="Times New Roman" w:eastAsia="Calibri" w:hAnsi="Times New Roman" w:cs="Times New Roman"/>
          <w:sz w:val="24"/>
          <w:szCs w:val="24"/>
        </w:rPr>
        <w:t xml:space="preserve"> при</w:t>
      </w:r>
      <w:r w:rsidR="00F854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E260C">
        <w:rPr>
          <w:rFonts w:ascii="Times New Roman" w:eastAsia="Calibri" w:hAnsi="Times New Roman" w:cs="Times New Roman"/>
          <w:sz w:val="24"/>
          <w:szCs w:val="24"/>
        </w:rPr>
        <w:t xml:space="preserve">плане </w:t>
      </w:r>
      <w:r w:rsidR="00217E54">
        <w:rPr>
          <w:rFonts w:ascii="Times New Roman" w:eastAsia="Calibri" w:hAnsi="Times New Roman" w:cs="Times New Roman"/>
          <w:sz w:val="24"/>
          <w:szCs w:val="24"/>
        </w:rPr>
        <w:t>7</w:t>
      </w:r>
      <w:r w:rsidR="000E260C">
        <w:rPr>
          <w:rFonts w:ascii="Times New Roman" w:eastAsia="Calibri" w:hAnsi="Times New Roman" w:cs="Times New Roman"/>
          <w:sz w:val="24"/>
          <w:szCs w:val="24"/>
        </w:rPr>
        <w:t>01</w:t>
      </w:r>
      <w:r w:rsidR="00F8540B">
        <w:rPr>
          <w:rFonts w:ascii="Times New Roman" w:eastAsia="Calibri" w:hAnsi="Times New Roman" w:cs="Times New Roman"/>
          <w:sz w:val="24"/>
          <w:szCs w:val="24"/>
        </w:rPr>
        <w:t>0</w:t>
      </w:r>
      <w:r w:rsidR="000E260C">
        <w:rPr>
          <w:rFonts w:ascii="Times New Roman" w:eastAsia="Calibri" w:hAnsi="Times New Roman" w:cs="Times New Roman"/>
          <w:sz w:val="24"/>
          <w:szCs w:val="24"/>
        </w:rPr>
        <w:t>00,00 рублей</w:t>
      </w:r>
      <w:r w:rsidR="00373E5A">
        <w:rPr>
          <w:rFonts w:ascii="Times New Roman" w:eastAsia="Calibri" w:hAnsi="Times New Roman" w:cs="Times New Roman"/>
          <w:sz w:val="24"/>
          <w:szCs w:val="24"/>
        </w:rPr>
        <w:t xml:space="preserve"> или</w:t>
      </w:r>
      <w:r w:rsid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540B">
        <w:rPr>
          <w:rFonts w:ascii="Times New Roman" w:eastAsia="Calibri" w:hAnsi="Times New Roman" w:cs="Times New Roman"/>
          <w:sz w:val="24"/>
          <w:szCs w:val="24"/>
        </w:rPr>
        <w:t>25,1</w:t>
      </w:r>
      <w:r w:rsidR="00217E54">
        <w:rPr>
          <w:rFonts w:ascii="Times New Roman" w:eastAsia="Calibri" w:hAnsi="Times New Roman" w:cs="Times New Roman"/>
          <w:sz w:val="24"/>
          <w:szCs w:val="24"/>
        </w:rPr>
        <w:t>1</w:t>
      </w:r>
      <w:r w:rsidR="00586C0D">
        <w:rPr>
          <w:rFonts w:ascii="Times New Roman" w:eastAsia="Calibri" w:hAnsi="Times New Roman" w:cs="Times New Roman"/>
          <w:sz w:val="24"/>
          <w:szCs w:val="24"/>
        </w:rPr>
        <w:t>% от запланированной годовой суммы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3A5C36" w:rsidRDefault="00534D68" w:rsidP="00933DF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Средства были направлены на расходы по осуществлению переданных полномочий сельского поселения «</w:t>
      </w:r>
      <w:r w:rsidR="00502386">
        <w:rPr>
          <w:rFonts w:ascii="Times New Roman" w:eastAsia="Calibri" w:hAnsi="Times New Roman" w:cs="Times New Roman"/>
          <w:sz w:val="24"/>
          <w:szCs w:val="24"/>
        </w:rPr>
        <w:t>Визиндо</w:t>
      </w:r>
      <w:r w:rsidR="001E0255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» муниципальному району «Сысольский» по составлению проекта бюджета поселения, исполнению бюджета поселения, осуществлению контроля за его исполнением, составлению отчета об исполнении бюджета поселения, осуществление внешнего муниципального финансового контроля.</w:t>
      </w:r>
    </w:p>
    <w:p w:rsidR="00102F2C" w:rsidRDefault="004228B0" w:rsidP="00373E5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По подразделу 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01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13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 xml:space="preserve"> «</w:t>
      </w:r>
      <w:r w:rsidR="009A40DE">
        <w:rPr>
          <w:rFonts w:ascii="Times New Roman" w:eastAsia="Calibri" w:hAnsi="Times New Roman" w:cs="Times New Roman"/>
          <w:i/>
          <w:sz w:val="24"/>
          <w:szCs w:val="24"/>
        </w:rPr>
        <w:t>Другие общегосударственные расходы</w:t>
      </w:r>
      <w:r w:rsidRPr="00102F2C">
        <w:rPr>
          <w:rFonts w:ascii="Times New Roman" w:eastAsia="Calibri" w:hAnsi="Times New Roman" w:cs="Times New Roman"/>
          <w:i/>
          <w:sz w:val="24"/>
          <w:szCs w:val="24"/>
        </w:rPr>
        <w:t>»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кассовые </w:t>
      </w:r>
      <w:r w:rsidRPr="00586C0D">
        <w:rPr>
          <w:rFonts w:ascii="Times New Roman" w:eastAsia="Calibri" w:hAnsi="Times New Roman" w:cs="Times New Roman"/>
          <w:sz w:val="24"/>
          <w:szCs w:val="24"/>
        </w:rPr>
        <w:t xml:space="preserve">расходы 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составили </w:t>
      </w:r>
      <w:r w:rsidR="00217E54">
        <w:rPr>
          <w:rFonts w:ascii="Times New Roman" w:eastAsia="Calibri" w:hAnsi="Times New Roman" w:cs="Times New Roman"/>
          <w:sz w:val="24"/>
          <w:szCs w:val="24"/>
        </w:rPr>
        <w:t>22438</w:t>
      </w:r>
      <w:r w:rsidR="00E6576C">
        <w:rPr>
          <w:rFonts w:ascii="Times New Roman" w:eastAsia="Calibri" w:hAnsi="Times New Roman" w:cs="Times New Roman"/>
          <w:sz w:val="24"/>
          <w:szCs w:val="24"/>
        </w:rPr>
        <w:t>,00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1DA1">
        <w:rPr>
          <w:rFonts w:ascii="Times New Roman" w:eastAsia="Calibri" w:hAnsi="Times New Roman" w:cs="Times New Roman"/>
          <w:sz w:val="24"/>
          <w:szCs w:val="24"/>
        </w:rPr>
        <w:t>рублей</w:t>
      </w:r>
      <w:r w:rsidR="00F8540B">
        <w:rPr>
          <w:rFonts w:ascii="Times New Roman" w:eastAsia="Calibri" w:hAnsi="Times New Roman" w:cs="Times New Roman"/>
          <w:sz w:val="24"/>
          <w:szCs w:val="24"/>
        </w:rPr>
        <w:t xml:space="preserve"> при плане </w:t>
      </w:r>
      <w:r w:rsidR="00217E54">
        <w:rPr>
          <w:rFonts w:ascii="Times New Roman" w:eastAsia="Calibri" w:hAnsi="Times New Roman" w:cs="Times New Roman"/>
          <w:sz w:val="24"/>
          <w:szCs w:val="24"/>
        </w:rPr>
        <w:t>23438</w:t>
      </w:r>
      <w:r w:rsidR="00E6576C">
        <w:rPr>
          <w:rFonts w:ascii="Times New Roman" w:eastAsia="Calibri" w:hAnsi="Times New Roman" w:cs="Times New Roman"/>
          <w:sz w:val="24"/>
          <w:szCs w:val="24"/>
        </w:rPr>
        <w:t>,00</w:t>
      </w:r>
      <w:r w:rsidR="00F8540B">
        <w:rPr>
          <w:rFonts w:ascii="Times New Roman" w:eastAsia="Calibri" w:hAnsi="Times New Roman" w:cs="Times New Roman"/>
          <w:sz w:val="24"/>
          <w:szCs w:val="24"/>
        </w:rPr>
        <w:t xml:space="preserve"> рублей</w:t>
      </w:r>
      <w:r w:rsidR="00451DA1">
        <w:rPr>
          <w:rFonts w:ascii="Times New Roman" w:eastAsia="Calibri" w:hAnsi="Times New Roman" w:cs="Times New Roman"/>
          <w:sz w:val="24"/>
          <w:szCs w:val="24"/>
        </w:rPr>
        <w:t xml:space="preserve"> или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17E54">
        <w:rPr>
          <w:rFonts w:ascii="Times New Roman" w:eastAsia="Calibri" w:hAnsi="Times New Roman" w:cs="Times New Roman"/>
          <w:sz w:val="24"/>
          <w:szCs w:val="24"/>
        </w:rPr>
        <w:t>95,73</w:t>
      </w:r>
      <w:r w:rsidRPr="00586C0D">
        <w:rPr>
          <w:rFonts w:ascii="Times New Roman" w:eastAsia="Calibri" w:hAnsi="Times New Roman" w:cs="Times New Roman"/>
          <w:sz w:val="24"/>
          <w:szCs w:val="24"/>
        </w:rPr>
        <w:t>%</w:t>
      </w:r>
      <w:r w:rsidR="009A40DE">
        <w:rPr>
          <w:rFonts w:ascii="Times New Roman" w:eastAsia="Calibri" w:hAnsi="Times New Roman" w:cs="Times New Roman"/>
          <w:sz w:val="24"/>
          <w:szCs w:val="24"/>
        </w:rPr>
        <w:t xml:space="preserve"> от запланированной годовой суммы</w:t>
      </w:r>
      <w:r w:rsidR="00373E5A">
        <w:rPr>
          <w:rFonts w:ascii="Times New Roman" w:eastAsia="Calibri" w:hAnsi="Times New Roman" w:cs="Times New Roman"/>
          <w:sz w:val="24"/>
          <w:szCs w:val="24"/>
        </w:rPr>
        <w:t>, в т. ч. с</w:t>
      </w:r>
      <w:r w:rsidR="00102F2C">
        <w:rPr>
          <w:rFonts w:ascii="Times New Roman" w:eastAsia="Calibri" w:hAnsi="Times New Roman" w:cs="Times New Roman"/>
          <w:sz w:val="24"/>
          <w:szCs w:val="24"/>
        </w:rPr>
        <w:t>редства были направлены на реализацию функций Совета сельского поселения</w:t>
      </w:r>
      <w:r w:rsidR="0033529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3E5A">
        <w:rPr>
          <w:rFonts w:ascii="Times New Roman" w:eastAsia="Calibri" w:hAnsi="Times New Roman" w:cs="Times New Roman"/>
          <w:sz w:val="24"/>
          <w:szCs w:val="24"/>
        </w:rPr>
        <w:t>в сумме 5000,00 рублей.</w:t>
      </w:r>
    </w:p>
    <w:p w:rsidR="00061BA6" w:rsidRDefault="00373E5A" w:rsidP="00373E5A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385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разделу </w:t>
      </w:r>
      <w:r w:rsidR="006F53C4" w:rsidRPr="00ED51DF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0300</w:t>
      </w:r>
      <w:r w:rsidR="006F53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3385B"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«Национальная бе</w:t>
      </w:r>
      <w:r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зопасность и правоохранительная </w:t>
      </w:r>
      <w:r w:rsidR="0023385B" w:rsidRPr="00EB76E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деятельность»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кассовые расходы составили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E1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8000</w:t>
      </w:r>
      <w:r w:rsidR="00F8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,00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</w:t>
      </w:r>
      <w:r w:rsidR="00F8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плане </w:t>
      </w:r>
      <w:r w:rsidR="00FE1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</w:t>
      </w:r>
      <w:r w:rsidR="00F8540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000,00 рублей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</w:t>
      </w:r>
      <w:r w:rsidR="00FE1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11,43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от запланированной годовой суммы</w:t>
      </w:r>
      <w:r w:rsidR="008173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451D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Средства были направлены на профилактику возникновения чрезвычайных ситуаций.</w:t>
      </w:r>
    </w:p>
    <w:p w:rsidR="0023385B" w:rsidRPr="002976CE" w:rsidRDefault="00451DA1" w:rsidP="00451DA1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разделу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0400</w:t>
      </w:r>
      <w:r w:rsidR="0023385B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3385B" w:rsidRPr="00EB76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«Национальная экономика»</w:t>
      </w:r>
      <w:r w:rsidR="0023385B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кассовые расходы составили 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195720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лане 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881000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</w:t>
      </w:r>
      <w:r w:rsidR="00F56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2,22</w:t>
      </w:r>
      <w:r w:rsidR="007A618D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% от запланированной годовой суммы</w:t>
      </w:r>
      <w:r w:rsidR="0033529F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7A618D" w:rsidRPr="007C3E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46D75" w:rsidRDefault="00EB76EC" w:rsidP="003022A0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разделу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050</w:t>
      </w:r>
      <w:r w:rsid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0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 w:rsidRPr="00EB76E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«Жилищно-коммунальное хозяйство»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кассовые расходы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составил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47194,48</w:t>
      </w:r>
      <w:r w:rsidR="002B5B2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281000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3352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15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8D1091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16,80</w:t>
      </w:r>
      <w:r w:rsidR="00291512" w:rsidRPr="002976CE">
        <w:rPr>
          <w:rFonts w:ascii="Times New Roman" w:eastAsia="Times New Roman" w:hAnsi="Times New Roman" w:cs="Times New Roman"/>
          <w:sz w:val="24"/>
          <w:szCs w:val="24"/>
          <w:lang w:eastAsia="ru-RU"/>
        </w:rPr>
        <w:t>%</w:t>
      </w:r>
      <w:r w:rsidR="002976CE" w:rsidRPr="00B429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E85F17" w:rsidRDefault="008F3AF8" w:rsidP="008F3AF8">
      <w:pPr>
        <w:overflowPunct w:val="0"/>
        <w:autoSpaceDE w:val="0"/>
        <w:autoSpaceDN w:val="0"/>
        <w:adjustRightInd w:val="0"/>
        <w:spacing w:after="0" w:line="240" w:lineRule="auto"/>
        <w:ind w:right="-1" w:firstLine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разделу </w:t>
      </w:r>
      <w:r w:rsidR="00ED51DF" w:rsidRPr="00ED51D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1000</w:t>
      </w:r>
      <w:r w:rsidR="00ED51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6005" w:rsidRPr="008F3AF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«Социальная политика»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составил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0460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55021,12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>ей</w:t>
      </w:r>
      <w:r w:rsidR="005F1E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плане 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1014185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,00</w:t>
      </w:r>
      <w:r w:rsidR="001141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 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5,15</w:t>
      </w:r>
      <w:r w:rsidR="003B1E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  <w:r w:rsidR="008E6D3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сравнению с аналогичным периодом прошлог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года расходы </w:t>
      </w:r>
      <w:r w:rsidR="00FB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 w:rsidR="00FB1A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E6D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увеличились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20905,21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="00F854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A43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выплат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ой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пенсии за декабрь 202</w:t>
      </w:r>
      <w:r w:rsidR="00FE17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657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</w:p>
    <w:p w:rsidR="002976CE" w:rsidRPr="00704F04" w:rsidRDefault="008E6D34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енежные средства направлены на выплаты </w:t>
      </w:r>
      <w:r w:rsidR="00782CA5" w:rsidRP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ежемесячного обеспечения к пенсии муниципального служащего</w:t>
      </w:r>
      <w:r w:rsidR="00782C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-1"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546CCA" w:rsidRPr="00EF54E2" w:rsidRDefault="00FE17BD" w:rsidP="00485D05">
      <w:pPr>
        <w:overflowPunct w:val="0"/>
        <w:autoSpaceDE w:val="0"/>
        <w:autoSpaceDN w:val="0"/>
        <w:adjustRightInd w:val="0"/>
        <w:spacing w:after="0" w:line="240" w:lineRule="auto"/>
        <w:ind w:right="141"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C48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3423">
        <w:rPr>
          <w:rFonts w:ascii="Times New Roman" w:eastAsia="Times New Roman" w:hAnsi="Times New Roman" w:cs="Times New Roman"/>
          <w:sz w:val="24"/>
          <w:szCs w:val="24"/>
          <w:lang w:eastAsia="ru-RU"/>
        </w:rPr>
        <w:t>1 квартал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546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546CC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сельского поселения «</w:t>
      </w:r>
      <w:r w:rsidR="00A442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Заозерье</w:t>
      </w:r>
      <w:r w:rsidR="00A46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народные </w:t>
      </w:r>
      <w:r w:rsidR="00546CCA" w:rsidRPr="00EF54E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проекты не реализовывались.</w:t>
      </w:r>
    </w:p>
    <w:p w:rsidR="003B1E49" w:rsidRDefault="003B1E49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4017" w:rsidRPr="00C04017" w:rsidRDefault="00C04017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итогам исполнения бюджета сельского поселения за </w:t>
      </w:r>
      <w:r w:rsidR="00023423">
        <w:rPr>
          <w:rFonts w:ascii="Times New Roman" w:eastAsia="Calibri" w:hAnsi="Times New Roman" w:cs="Times New Roman"/>
          <w:sz w:val="24"/>
          <w:szCs w:val="24"/>
        </w:rPr>
        <w:t>1 квартал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FE17BD">
        <w:rPr>
          <w:rFonts w:ascii="Times New Roman" w:eastAsia="Calibri" w:hAnsi="Times New Roman" w:cs="Times New Roman"/>
          <w:sz w:val="24"/>
          <w:szCs w:val="24"/>
        </w:rPr>
        <w:t>5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485D05">
        <w:rPr>
          <w:rFonts w:ascii="Times New Roman" w:eastAsia="Calibri" w:hAnsi="Times New Roman" w:cs="Times New Roman"/>
          <w:sz w:val="24"/>
          <w:szCs w:val="24"/>
        </w:rPr>
        <w:t>превышение доходов над расходами (</w:t>
      </w:r>
      <w:r w:rsidR="003B1E49">
        <w:rPr>
          <w:rFonts w:ascii="Times New Roman" w:eastAsia="Calibri" w:hAnsi="Times New Roman" w:cs="Times New Roman"/>
          <w:sz w:val="24"/>
          <w:szCs w:val="24"/>
        </w:rPr>
        <w:t>профицит</w:t>
      </w:r>
      <w:r w:rsidR="00485D05">
        <w:rPr>
          <w:rFonts w:ascii="Times New Roman" w:eastAsia="Calibri" w:hAnsi="Times New Roman" w:cs="Times New Roman"/>
          <w:sz w:val="24"/>
          <w:szCs w:val="24"/>
        </w:rPr>
        <w:t>) составил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E20C6">
        <w:rPr>
          <w:rFonts w:ascii="Times New Roman" w:eastAsia="Calibri" w:hAnsi="Times New Roman" w:cs="Times New Roman"/>
          <w:sz w:val="24"/>
          <w:szCs w:val="24"/>
        </w:rPr>
        <w:t>121493,47</w:t>
      </w:r>
      <w:r w:rsidR="00114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114128">
        <w:rPr>
          <w:rFonts w:ascii="Times New Roman" w:eastAsia="Calibri" w:hAnsi="Times New Roman" w:cs="Times New Roman"/>
          <w:sz w:val="24"/>
          <w:szCs w:val="24"/>
        </w:rPr>
        <w:t>ей</w:t>
      </w:r>
      <w:r w:rsidR="003B1E4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04017" w:rsidRDefault="00C04017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По состоянию на 1 </w:t>
      </w:r>
      <w:r w:rsidR="00023423">
        <w:rPr>
          <w:rFonts w:ascii="Times New Roman" w:eastAsia="Calibri" w:hAnsi="Times New Roman" w:cs="Times New Roman"/>
          <w:sz w:val="24"/>
          <w:szCs w:val="24"/>
        </w:rPr>
        <w:t>апреля</w:t>
      </w:r>
      <w:r w:rsidR="003B1E4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202</w:t>
      </w:r>
      <w:r w:rsidR="00EE20C6">
        <w:rPr>
          <w:rFonts w:ascii="Times New Roman" w:eastAsia="Calibri" w:hAnsi="Times New Roman" w:cs="Times New Roman"/>
          <w:sz w:val="24"/>
          <w:szCs w:val="24"/>
        </w:rPr>
        <w:t>5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года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лицевом </w:t>
      </w:r>
      <w:r w:rsidRPr="00C04017">
        <w:rPr>
          <w:rFonts w:ascii="Times New Roman" w:eastAsia="Calibri" w:hAnsi="Times New Roman" w:cs="Times New Roman"/>
          <w:sz w:val="24"/>
          <w:szCs w:val="24"/>
        </w:rPr>
        <w:t>счете бюджета сельского поселения «</w:t>
      </w:r>
      <w:r w:rsidR="00EE20C6">
        <w:rPr>
          <w:rFonts w:ascii="Times New Roman" w:eastAsia="Calibri" w:hAnsi="Times New Roman" w:cs="Times New Roman"/>
          <w:sz w:val="24"/>
          <w:szCs w:val="24"/>
        </w:rPr>
        <w:t>Заозерье» сформирован</w:t>
      </w:r>
      <w:r w:rsidRPr="00C04017">
        <w:rPr>
          <w:rFonts w:ascii="Times New Roman" w:eastAsia="Calibri" w:hAnsi="Times New Roman" w:cs="Times New Roman"/>
          <w:sz w:val="24"/>
          <w:szCs w:val="24"/>
        </w:rPr>
        <w:t xml:space="preserve"> остаток в сумме </w:t>
      </w:r>
      <w:r w:rsidR="00EE20C6">
        <w:rPr>
          <w:rFonts w:ascii="Times New Roman" w:eastAsia="Calibri" w:hAnsi="Times New Roman" w:cs="Times New Roman"/>
          <w:sz w:val="24"/>
          <w:szCs w:val="24"/>
        </w:rPr>
        <w:t>169350,74</w:t>
      </w:r>
      <w:r w:rsidR="0011412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04017">
        <w:rPr>
          <w:rFonts w:ascii="Times New Roman" w:eastAsia="Calibri" w:hAnsi="Times New Roman" w:cs="Times New Roman"/>
          <w:sz w:val="24"/>
          <w:szCs w:val="24"/>
        </w:rPr>
        <w:t>рубл</w:t>
      </w:r>
      <w:r w:rsidR="008E6D34">
        <w:rPr>
          <w:rFonts w:ascii="Times New Roman" w:eastAsia="Calibri" w:hAnsi="Times New Roman" w:cs="Times New Roman"/>
          <w:sz w:val="24"/>
          <w:szCs w:val="24"/>
        </w:rPr>
        <w:t>ей</w:t>
      </w:r>
      <w:r w:rsidRPr="00C0401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4FB9" w:rsidRPr="00C04017" w:rsidRDefault="00C44FB9" w:rsidP="00485D0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Просроченная кредиторская </w:t>
      </w:r>
      <w:r w:rsidR="0018429D">
        <w:rPr>
          <w:rFonts w:ascii="Times New Roman" w:eastAsia="Calibri" w:hAnsi="Times New Roman" w:cs="Times New Roman"/>
          <w:sz w:val="24"/>
          <w:szCs w:val="24"/>
        </w:rPr>
        <w:t xml:space="preserve">и дебиторская </w:t>
      </w:r>
      <w:r>
        <w:rPr>
          <w:rFonts w:ascii="Times New Roman" w:eastAsia="Calibri" w:hAnsi="Times New Roman" w:cs="Times New Roman"/>
          <w:sz w:val="24"/>
          <w:szCs w:val="24"/>
        </w:rPr>
        <w:t>задолженност</w:t>
      </w:r>
      <w:r w:rsidR="0018429D">
        <w:rPr>
          <w:rFonts w:ascii="Times New Roman" w:eastAsia="Calibri" w:hAnsi="Times New Roman" w:cs="Times New Roman"/>
          <w:sz w:val="24"/>
          <w:szCs w:val="24"/>
        </w:rPr>
        <w:t>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 01 </w:t>
      </w:r>
      <w:r w:rsidR="00023423">
        <w:rPr>
          <w:rFonts w:ascii="Times New Roman" w:eastAsia="Calibri" w:hAnsi="Times New Roman" w:cs="Times New Roman"/>
          <w:sz w:val="24"/>
          <w:szCs w:val="24"/>
        </w:rPr>
        <w:t>апреля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EE20C6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 года отсутствует.</w:t>
      </w:r>
    </w:p>
    <w:p w:rsidR="00C04017" w:rsidRDefault="00C04017" w:rsidP="00077489">
      <w:pPr>
        <w:overflowPunct w:val="0"/>
        <w:autoSpaceDE w:val="0"/>
        <w:autoSpaceDN w:val="0"/>
        <w:adjustRightInd w:val="0"/>
        <w:spacing w:after="0" w:line="240" w:lineRule="auto"/>
        <w:ind w:right="141" w:firstLine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7489" w:rsidRDefault="00077489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46D75" w:rsidRDefault="00A46D75" w:rsidP="00A46D75">
      <w:pPr>
        <w:overflowPunct w:val="0"/>
        <w:autoSpaceDE w:val="0"/>
        <w:autoSpaceDN w:val="0"/>
        <w:adjustRightInd w:val="0"/>
        <w:spacing w:after="0" w:line="240" w:lineRule="auto"/>
        <w:ind w:right="141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Главный бухгалтер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И.А.Парначева</w:t>
      </w:r>
      <w:proofErr w:type="spellEnd"/>
    </w:p>
    <w:sectPr w:rsidR="00A46D75" w:rsidSect="001D6D40">
      <w:footerReference w:type="default" r:id="rId8"/>
      <w:pgSz w:w="11906" w:h="16838"/>
      <w:pgMar w:top="567" w:right="567" w:bottom="34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325" w:rsidRDefault="00962325" w:rsidP="00F03BC7">
      <w:pPr>
        <w:spacing w:after="0" w:line="240" w:lineRule="auto"/>
      </w:pPr>
      <w:r>
        <w:separator/>
      </w:r>
    </w:p>
  </w:endnote>
  <w:endnote w:type="continuationSeparator" w:id="0">
    <w:p w:rsidR="00962325" w:rsidRDefault="00962325" w:rsidP="00F03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6460923"/>
      <w:docPartObj>
        <w:docPartGallery w:val="Page Numbers (Bottom of Page)"/>
        <w:docPartUnique/>
      </w:docPartObj>
    </w:sdtPr>
    <w:sdtEndPr/>
    <w:sdtContent>
      <w:p w:rsidR="006F53C4" w:rsidRDefault="006F53C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3A6B">
          <w:rPr>
            <w:noProof/>
          </w:rPr>
          <w:t>4</w:t>
        </w:r>
        <w:r>
          <w:fldChar w:fldCharType="end"/>
        </w:r>
      </w:p>
    </w:sdtContent>
  </w:sdt>
  <w:p w:rsidR="006F53C4" w:rsidRDefault="006F53C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325" w:rsidRDefault="00962325" w:rsidP="00F03BC7">
      <w:pPr>
        <w:spacing w:after="0" w:line="240" w:lineRule="auto"/>
      </w:pPr>
      <w:r>
        <w:separator/>
      </w:r>
    </w:p>
  </w:footnote>
  <w:footnote w:type="continuationSeparator" w:id="0">
    <w:p w:rsidR="00962325" w:rsidRDefault="00962325" w:rsidP="00F03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C57A82"/>
    <w:multiLevelType w:val="hybridMultilevel"/>
    <w:tmpl w:val="4068578C"/>
    <w:lvl w:ilvl="0" w:tplc="0419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289C"/>
    <w:rsid w:val="0001003A"/>
    <w:rsid w:val="0001266E"/>
    <w:rsid w:val="00020092"/>
    <w:rsid w:val="00023423"/>
    <w:rsid w:val="0002558A"/>
    <w:rsid w:val="00026805"/>
    <w:rsid w:val="00034FBE"/>
    <w:rsid w:val="000423F0"/>
    <w:rsid w:val="00043EE2"/>
    <w:rsid w:val="00046005"/>
    <w:rsid w:val="00060C78"/>
    <w:rsid w:val="000618F7"/>
    <w:rsid w:val="00061BA6"/>
    <w:rsid w:val="00064760"/>
    <w:rsid w:val="00071EE9"/>
    <w:rsid w:val="00076378"/>
    <w:rsid w:val="00077489"/>
    <w:rsid w:val="00082BF3"/>
    <w:rsid w:val="00085798"/>
    <w:rsid w:val="000909AC"/>
    <w:rsid w:val="000960F5"/>
    <w:rsid w:val="000A25AF"/>
    <w:rsid w:val="000A35F7"/>
    <w:rsid w:val="000B2D24"/>
    <w:rsid w:val="000B311F"/>
    <w:rsid w:val="000B3590"/>
    <w:rsid w:val="000B482D"/>
    <w:rsid w:val="000C34AC"/>
    <w:rsid w:val="000E0E12"/>
    <w:rsid w:val="000E260C"/>
    <w:rsid w:val="000E3868"/>
    <w:rsid w:val="000F0D6E"/>
    <w:rsid w:val="00102F2C"/>
    <w:rsid w:val="00111899"/>
    <w:rsid w:val="00112B95"/>
    <w:rsid w:val="00114128"/>
    <w:rsid w:val="001157A2"/>
    <w:rsid w:val="00117507"/>
    <w:rsid w:val="00122379"/>
    <w:rsid w:val="001258BB"/>
    <w:rsid w:val="0013045D"/>
    <w:rsid w:val="001374D1"/>
    <w:rsid w:val="001421D9"/>
    <w:rsid w:val="0014772D"/>
    <w:rsid w:val="00160280"/>
    <w:rsid w:val="0016531E"/>
    <w:rsid w:val="00177A0D"/>
    <w:rsid w:val="00181428"/>
    <w:rsid w:val="0018429D"/>
    <w:rsid w:val="001A3155"/>
    <w:rsid w:val="001A43B7"/>
    <w:rsid w:val="001B01BE"/>
    <w:rsid w:val="001C5C39"/>
    <w:rsid w:val="001D5A00"/>
    <w:rsid w:val="001D620E"/>
    <w:rsid w:val="001D6D40"/>
    <w:rsid w:val="001E0255"/>
    <w:rsid w:val="00213C33"/>
    <w:rsid w:val="00215156"/>
    <w:rsid w:val="00217E54"/>
    <w:rsid w:val="00222B55"/>
    <w:rsid w:val="00223C84"/>
    <w:rsid w:val="002320BC"/>
    <w:rsid w:val="0023385B"/>
    <w:rsid w:val="00235D74"/>
    <w:rsid w:val="002372C2"/>
    <w:rsid w:val="00242A5B"/>
    <w:rsid w:val="002448B3"/>
    <w:rsid w:val="00252B07"/>
    <w:rsid w:val="002561C4"/>
    <w:rsid w:val="00266013"/>
    <w:rsid w:val="002739D3"/>
    <w:rsid w:val="00276121"/>
    <w:rsid w:val="0027709A"/>
    <w:rsid w:val="00285522"/>
    <w:rsid w:val="002873A8"/>
    <w:rsid w:val="00291512"/>
    <w:rsid w:val="002976CE"/>
    <w:rsid w:val="002A69C0"/>
    <w:rsid w:val="002A729F"/>
    <w:rsid w:val="002B1273"/>
    <w:rsid w:val="002B552E"/>
    <w:rsid w:val="002B5A9E"/>
    <w:rsid w:val="002B5B27"/>
    <w:rsid w:val="002E1A31"/>
    <w:rsid w:val="002F2086"/>
    <w:rsid w:val="003022A0"/>
    <w:rsid w:val="0030253A"/>
    <w:rsid w:val="00311DBF"/>
    <w:rsid w:val="00316EB2"/>
    <w:rsid w:val="003311A3"/>
    <w:rsid w:val="003312FB"/>
    <w:rsid w:val="0033529F"/>
    <w:rsid w:val="003353A0"/>
    <w:rsid w:val="00351E3D"/>
    <w:rsid w:val="00352AB0"/>
    <w:rsid w:val="0035314A"/>
    <w:rsid w:val="00354EA2"/>
    <w:rsid w:val="00360636"/>
    <w:rsid w:val="0036078A"/>
    <w:rsid w:val="00363E5B"/>
    <w:rsid w:val="00366DCD"/>
    <w:rsid w:val="00373E5A"/>
    <w:rsid w:val="00377614"/>
    <w:rsid w:val="00384559"/>
    <w:rsid w:val="00390326"/>
    <w:rsid w:val="003A0904"/>
    <w:rsid w:val="003A5C36"/>
    <w:rsid w:val="003B1E49"/>
    <w:rsid w:val="003C367A"/>
    <w:rsid w:val="003F1D8F"/>
    <w:rsid w:val="004148EA"/>
    <w:rsid w:val="004228B0"/>
    <w:rsid w:val="0042789F"/>
    <w:rsid w:val="0043045B"/>
    <w:rsid w:val="00430751"/>
    <w:rsid w:val="00442DF7"/>
    <w:rsid w:val="00445CF0"/>
    <w:rsid w:val="00451DA1"/>
    <w:rsid w:val="0045720B"/>
    <w:rsid w:val="00461436"/>
    <w:rsid w:val="00463307"/>
    <w:rsid w:val="00476CBC"/>
    <w:rsid w:val="0048179B"/>
    <w:rsid w:val="00485734"/>
    <w:rsid w:val="00485D05"/>
    <w:rsid w:val="00490765"/>
    <w:rsid w:val="00492333"/>
    <w:rsid w:val="004929F6"/>
    <w:rsid w:val="004A061F"/>
    <w:rsid w:val="004B28FB"/>
    <w:rsid w:val="004B29E4"/>
    <w:rsid w:val="004B682B"/>
    <w:rsid w:val="004B6B87"/>
    <w:rsid w:val="004C5A50"/>
    <w:rsid w:val="004D4BA7"/>
    <w:rsid w:val="004F278F"/>
    <w:rsid w:val="00501298"/>
    <w:rsid w:val="00502386"/>
    <w:rsid w:val="00514342"/>
    <w:rsid w:val="005176AF"/>
    <w:rsid w:val="0051785C"/>
    <w:rsid w:val="005214FC"/>
    <w:rsid w:val="00532C23"/>
    <w:rsid w:val="00534D68"/>
    <w:rsid w:val="00535783"/>
    <w:rsid w:val="00546CCA"/>
    <w:rsid w:val="00550887"/>
    <w:rsid w:val="005519CD"/>
    <w:rsid w:val="005547EA"/>
    <w:rsid w:val="005566DC"/>
    <w:rsid w:val="00577E48"/>
    <w:rsid w:val="00583088"/>
    <w:rsid w:val="00586C0D"/>
    <w:rsid w:val="005917CF"/>
    <w:rsid w:val="005A7B67"/>
    <w:rsid w:val="005B487C"/>
    <w:rsid w:val="005C2FD3"/>
    <w:rsid w:val="005C71D5"/>
    <w:rsid w:val="005D4FB6"/>
    <w:rsid w:val="005E0462"/>
    <w:rsid w:val="005F0083"/>
    <w:rsid w:val="005F1EEC"/>
    <w:rsid w:val="00607471"/>
    <w:rsid w:val="00616207"/>
    <w:rsid w:val="00617DAE"/>
    <w:rsid w:val="00620FB2"/>
    <w:rsid w:val="00634120"/>
    <w:rsid w:val="006354B8"/>
    <w:rsid w:val="0065296D"/>
    <w:rsid w:val="00674347"/>
    <w:rsid w:val="00677F29"/>
    <w:rsid w:val="006810A0"/>
    <w:rsid w:val="00684A55"/>
    <w:rsid w:val="00690421"/>
    <w:rsid w:val="00690546"/>
    <w:rsid w:val="00696F24"/>
    <w:rsid w:val="006B7E9A"/>
    <w:rsid w:val="006C4601"/>
    <w:rsid w:val="006D6360"/>
    <w:rsid w:val="006F134E"/>
    <w:rsid w:val="006F53C4"/>
    <w:rsid w:val="00704CAC"/>
    <w:rsid w:val="00704F04"/>
    <w:rsid w:val="007178B0"/>
    <w:rsid w:val="00727792"/>
    <w:rsid w:val="00732708"/>
    <w:rsid w:val="007506AC"/>
    <w:rsid w:val="00753F39"/>
    <w:rsid w:val="007812C0"/>
    <w:rsid w:val="00782CA5"/>
    <w:rsid w:val="007A618D"/>
    <w:rsid w:val="007B04DF"/>
    <w:rsid w:val="007C00C3"/>
    <w:rsid w:val="007C07AF"/>
    <w:rsid w:val="007C3E09"/>
    <w:rsid w:val="007C4830"/>
    <w:rsid w:val="007D1A6A"/>
    <w:rsid w:val="007D3C3D"/>
    <w:rsid w:val="007E10A9"/>
    <w:rsid w:val="007E32E2"/>
    <w:rsid w:val="007F47B9"/>
    <w:rsid w:val="00801EC8"/>
    <w:rsid w:val="008069FB"/>
    <w:rsid w:val="0081383D"/>
    <w:rsid w:val="008173F2"/>
    <w:rsid w:val="008271AE"/>
    <w:rsid w:val="00837041"/>
    <w:rsid w:val="00861470"/>
    <w:rsid w:val="0086273C"/>
    <w:rsid w:val="00863541"/>
    <w:rsid w:val="0086544D"/>
    <w:rsid w:val="008667F2"/>
    <w:rsid w:val="00885DD0"/>
    <w:rsid w:val="0089572D"/>
    <w:rsid w:val="008A7FCA"/>
    <w:rsid w:val="008B47C8"/>
    <w:rsid w:val="008B62D6"/>
    <w:rsid w:val="008D1091"/>
    <w:rsid w:val="008D10E9"/>
    <w:rsid w:val="008E3A6B"/>
    <w:rsid w:val="008E6D34"/>
    <w:rsid w:val="008F1D50"/>
    <w:rsid w:val="008F3AF8"/>
    <w:rsid w:val="00901FE1"/>
    <w:rsid w:val="00907445"/>
    <w:rsid w:val="00910E4A"/>
    <w:rsid w:val="00911F9C"/>
    <w:rsid w:val="00920DF5"/>
    <w:rsid w:val="00933058"/>
    <w:rsid w:val="00933DF5"/>
    <w:rsid w:val="00936CFE"/>
    <w:rsid w:val="009458F9"/>
    <w:rsid w:val="00956D5B"/>
    <w:rsid w:val="00962325"/>
    <w:rsid w:val="00972AFF"/>
    <w:rsid w:val="00973A4C"/>
    <w:rsid w:val="00975E5E"/>
    <w:rsid w:val="00980C78"/>
    <w:rsid w:val="00993C38"/>
    <w:rsid w:val="0099509F"/>
    <w:rsid w:val="009A40DE"/>
    <w:rsid w:val="009A5471"/>
    <w:rsid w:val="009B13D9"/>
    <w:rsid w:val="009B1B50"/>
    <w:rsid w:val="009D03E3"/>
    <w:rsid w:val="009D316F"/>
    <w:rsid w:val="009E3B63"/>
    <w:rsid w:val="009E7CAB"/>
    <w:rsid w:val="009F5107"/>
    <w:rsid w:val="009F594A"/>
    <w:rsid w:val="00A006EF"/>
    <w:rsid w:val="00A01556"/>
    <w:rsid w:val="00A03CA4"/>
    <w:rsid w:val="00A15EFA"/>
    <w:rsid w:val="00A17A15"/>
    <w:rsid w:val="00A26BDE"/>
    <w:rsid w:val="00A44220"/>
    <w:rsid w:val="00A46D75"/>
    <w:rsid w:val="00A54230"/>
    <w:rsid w:val="00A554C6"/>
    <w:rsid w:val="00A63602"/>
    <w:rsid w:val="00A636F0"/>
    <w:rsid w:val="00A654E3"/>
    <w:rsid w:val="00A729A0"/>
    <w:rsid w:val="00A8221C"/>
    <w:rsid w:val="00A958DD"/>
    <w:rsid w:val="00A96EB9"/>
    <w:rsid w:val="00AA1572"/>
    <w:rsid w:val="00AA1C9B"/>
    <w:rsid w:val="00AA3A2F"/>
    <w:rsid w:val="00AA3EF8"/>
    <w:rsid w:val="00AB0A23"/>
    <w:rsid w:val="00AB7341"/>
    <w:rsid w:val="00AC0CFB"/>
    <w:rsid w:val="00AC694F"/>
    <w:rsid w:val="00AE289C"/>
    <w:rsid w:val="00AE5970"/>
    <w:rsid w:val="00B01648"/>
    <w:rsid w:val="00B04C9E"/>
    <w:rsid w:val="00B10F60"/>
    <w:rsid w:val="00B21F04"/>
    <w:rsid w:val="00B246A0"/>
    <w:rsid w:val="00B27859"/>
    <w:rsid w:val="00B30053"/>
    <w:rsid w:val="00B325BB"/>
    <w:rsid w:val="00B32E8B"/>
    <w:rsid w:val="00B34F75"/>
    <w:rsid w:val="00B42953"/>
    <w:rsid w:val="00B4675E"/>
    <w:rsid w:val="00B60029"/>
    <w:rsid w:val="00B616A9"/>
    <w:rsid w:val="00B73FDE"/>
    <w:rsid w:val="00B85572"/>
    <w:rsid w:val="00BA4ED0"/>
    <w:rsid w:val="00BA60A4"/>
    <w:rsid w:val="00BB4491"/>
    <w:rsid w:val="00BB5292"/>
    <w:rsid w:val="00BC14ED"/>
    <w:rsid w:val="00BD7548"/>
    <w:rsid w:val="00BE0B56"/>
    <w:rsid w:val="00BE466C"/>
    <w:rsid w:val="00BF792F"/>
    <w:rsid w:val="00C04017"/>
    <w:rsid w:val="00C054C2"/>
    <w:rsid w:val="00C13DA9"/>
    <w:rsid w:val="00C17389"/>
    <w:rsid w:val="00C23FD9"/>
    <w:rsid w:val="00C416C0"/>
    <w:rsid w:val="00C44FB9"/>
    <w:rsid w:val="00C65998"/>
    <w:rsid w:val="00C857ED"/>
    <w:rsid w:val="00C85DDE"/>
    <w:rsid w:val="00C916E0"/>
    <w:rsid w:val="00C94F7E"/>
    <w:rsid w:val="00C96229"/>
    <w:rsid w:val="00CA4489"/>
    <w:rsid w:val="00CA6AF9"/>
    <w:rsid w:val="00CB71A7"/>
    <w:rsid w:val="00CC3D8A"/>
    <w:rsid w:val="00CD0F1F"/>
    <w:rsid w:val="00CD1C15"/>
    <w:rsid w:val="00CE3E9E"/>
    <w:rsid w:val="00CF4A05"/>
    <w:rsid w:val="00CF7E4F"/>
    <w:rsid w:val="00D04D8C"/>
    <w:rsid w:val="00D04F54"/>
    <w:rsid w:val="00D12D43"/>
    <w:rsid w:val="00D25329"/>
    <w:rsid w:val="00D25BFC"/>
    <w:rsid w:val="00D2759A"/>
    <w:rsid w:val="00D3371B"/>
    <w:rsid w:val="00D43745"/>
    <w:rsid w:val="00D437E4"/>
    <w:rsid w:val="00D43E1F"/>
    <w:rsid w:val="00D46FD7"/>
    <w:rsid w:val="00D742C4"/>
    <w:rsid w:val="00D75802"/>
    <w:rsid w:val="00D860DE"/>
    <w:rsid w:val="00D86141"/>
    <w:rsid w:val="00DA1026"/>
    <w:rsid w:val="00DA13C3"/>
    <w:rsid w:val="00DB0706"/>
    <w:rsid w:val="00DB50C5"/>
    <w:rsid w:val="00DB7DCF"/>
    <w:rsid w:val="00DC29BF"/>
    <w:rsid w:val="00DC69E4"/>
    <w:rsid w:val="00DD23E9"/>
    <w:rsid w:val="00DD47BE"/>
    <w:rsid w:val="00DE2E58"/>
    <w:rsid w:val="00DF0127"/>
    <w:rsid w:val="00DF2C90"/>
    <w:rsid w:val="00DF55B4"/>
    <w:rsid w:val="00DF7584"/>
    <w:rsid w:val="00E04608"/>
    <w:rsid w:val="00E0549E"/>
    <w:rsid w:val="00E22979"/>
    <w:rsid w:val="00E22AAB"/>
    <w:rsid w:val="00E34126"/>
    <w:rsid w:val="00E415C2"/>
    <w:rsid w:val="00E44AE5"/>
    <w:rsid w:val="00E60187"/>
    <w:rsid w:val="00E6576C"/>
    <w:rsid w:val="00E76861"/>
    <w:rsid w:val="00E77949"/>
    <w:rsid w:val="00E80463"/>
    <w:rsid w:val="00E80658"/>
    <w:rsid w:val="00E808D1"/>
    <w:rsid w:val="00E808D2"/>
    <w:rsid w:val="00E8510D"/>
    <w:rsid w:val="00E85F17"/>
    <w:rsid w:val="00E8655D"/>
    <w:rsid w:val="00E935BA"/>
    <w:rsid w:val="00EB215E"/>
    <w:rsid w:val="00EB76EC"/>
    <w:rsid w:val="00EC1CF4"/>
    <w:rsid w:val="00EC2892"/>
    <w:rsid w:val="00ED51DF"/>
    <w:rsid w:val="00EE20C6"/>
    <w:rsid w:val="00EF54E2"/>
    <w:rsid w:val="00F025D6"/>
    <w:rsid w:val="00F03BC7"/>
    <w:rsid w:val="00F04577"/>
    <w:rsid w:val="00F10C08"/>
    <w:rsid w:val="00F400F8"/>
    <w:rsid w:val="00F55351"/>
    <w:rsid w:val="00F553E2"/>
    <w:rsid w:val="00F55B9F"/>
    <w:rsid w:val="00F56B46"/>
    <w:rsid w:val="00F57F29"/>
    <w:rsid w:val="00F65646"/>
    <w:rsid w:val="00F67A60"/>
    <w:rsid w:val="00F76752"/>
    <w:rsid w:val="00F81C29"/>
    <w:rsid w:val="00F83384"/>
    <w:rsid w:val="00F8540B"/>
    <w:rsid w:val="00F92564"/>
    <w:rsid w:val="00F93B33"/>
    <w:rsid w:val="00FA0261"/>
    <w:rsid w:val="00FB1A0D"/>
    <w:rsid w:val="00FB3233"/>
    <w:rsid w:val="00FB3C13"/>
    <w:rsid w:val="00FC29D1"/>
    <w:rsid w:val="00FC5E03"/>
    <w:rsid w:val="00FD3B9D"/>
    <w:rsid w:val="00FE17BD"/>
    <w:rsid w:val="00FE1A40"/>
    <w:rsid w:val="00FE4CD0"/>
    <w:rsid w:val="00FE696B"/>
    <w:rsid w:val="00FF507F"/>
    <w:rsid w:val="00FF5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E7635"/>
  <w15:docId w15:val="{8B744527-5D96-4A2D-92CD-9B67EB319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23C84"/>
    <w:pPr>
      <w:spacing w:after="0" w:line="240" w:lineRule="auto"/>
      <w:ind w:left="720"/>
      <w:contextualSpacing/>
      <w:jc w:val="center"/>
    </w:pPr>
  </w:style>
  <w:style w:type="character" w:styleId="a5">
    <w:name w:val="Placeholder Text"/>
    <w:basedOn w:val="a0"/>
    <w:uiPriority w:val="99"/>
    <w:semiHidden/>
    <w:rsid w:val="00252B0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252B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2B0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03BC7"/>
  </w:style>
  <w:style w:type="paragraph" w:styleId="aa">
    <w:name w:val="footer"/>
    <w:basedOn w:val="a"/>
    <w:link w:val="ab"/>
    <w:uiPriority w:val="99"/>
    <w:unhideWhenUsed/>
    <w:rsid w:val="00F03B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03BC7"/>
  </w:style>
  <w:style w:type="table" w:customStyle="1" w:styleId="1">
    <w:name w:val="Сетка таблицы1"/>
    <w:basedOn w:val="a1"/>
    <w:next w:val="a3"/>
    <w:uiPriority w:val="59"/>
    <w:rsid w:val="00C41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6CCA6-2997-4F24-86CD-F025CD5EC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3492</TotalTime>
  <Pages>1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vizindor</cp:lastModifiedBy>
  <cp:revision>78</cp:revision>
  <cp:lastPrinted>2025-04-30T07:02:00Z</cp:lastPrinted>
  <dcterms:created xsi:type="dcterms:W3CDTF">2022-04-26T05:49:00Z</dcterms:created>
  <dcterms:modified xsi:type="dcterms:W3CDTF">2025-04-30T07:02:00Z</dcterms:modified>
</cp:coreProperties>
</file>